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D68" w:rsidRDefault="00C8624C" w:rsidP="00E17D68">
      <w:pPr>
        <w:jc w:val="center"/>
        <w:rPr>
          <w:rFonts w:ascii="Calibri" w:eastAsia="Calibri" w:hAnsi="Calibri" w:cs="Times New Roman"/>
          <w:b/>
          <w:bCs/>
          <w:sz w:val="36"/>
          <w:szCs w:val="36"/>
        </w:rPr>
      </w:pPr>
      <w:r w:rsidRPr="00C8624C">
        <w:rPr>
          <w:rFonts w:ascii="Calibri" w:eastAsia="Calibri" w:hAnsi="Calibri" w:cs="Times New Roman"/>
          <w:b/>
          <w:bCs/>
          <w:sz w:val="36"/>
          <w:szCs w:val="36"/>
        </w:rPr>
        <w:t>COMUNICATO STAMPA</w:t>
      </w:r>
    </w:p>
    <w:p w:rsidR="000C0B04" w:rsidRDefault="00D81D4D" w:rsidP="0010685E">
      <w:pPr>
        <w:rPr>
          <w:b/>
          <w:bCs/>
          <w:sz w:val="32"/>
          <w:szCs w:val="36"/>
        </w:rPr>
      </w:pPr>
      <w:r>
        <w:rPr>
          <w:b/>
          <w:bCs/>
          <w:sz w:val="32"/>
          <w:szCs w:val="36"/>
        </w:rPr>
        <w:t xml:space="preserve">2° </w:t>
      </w:r>
      <w:r w:rsidR="00DE6AEA">
        <w:rPr>
          <w:b/>
          <w:bCs/>
          <w:sz w:val="32"/>
          <w:szCs w:val="36"/>
        </w:rPr>
        <w:t>RAPPORTO GIMBE</w:t>
      </w:r>
      <w:r w:rsidR="00685DB6">
        <w:rPr>
          <w:b/>
          <w:bCs/>
          <w:sz w:val="32"/>
          <w:szCs w:val="36"/>
        </w:rPr>
        <w:t xml:space="preserve">: </w:t>
      </w:r>
      <w:r w:rsidR="00735079">
        <w:rPr>
          <w:b/>
          <w:bCs/>
          <w:sz w:val="32"/>
          <w:szCs w:val="36"/>
        </w:rPr>
        <w:t>SERVIZIO SANITARIO</w:t>
      </w:r>
      <w:r w:rsidR="00685DB6">
        <w:rPr>
          <w:b/>
          <w:bCs/>
          <w:sz w:val="32"/>
          <w:szCs w:val="36"/>
        </w:rPr>
        <w:t xml:space="preserve"> IN PROGNOSI RISERVATA</w:t>
      </w:r>
      <w:r w:rsidR="00D2652D">
        <w:rPr>
          <w:b/>
          <w:bCs/>
          <w:sz w:val="32"/>
          <w:szCs w:val="36"/>
        </w:rPr>
        <w:t>.</w:t>
      </w:r>
      <w:r w:rsidR="00DE6AEA">
        <w:rPr>
          <w:b/>
          <w:bCs/>
          <w:sz w:val="32"/>
          <w:szCs w:val="36"/>
        </w:rPr>
        <w:t xml:space="preserve"> </w:t>
      </w:r>
      <w:proofErr w:type="gramStart"/>
      <w:r w:rsidR="00410B6F">
        <w:rPr>
          <w:b/>
          <w:bCs/>
          <w:sz w:val="32"/>
          <w:szCs w:val="36"/>
        </w:rPr>
        <w:t>ENTRO</w:t>
      </w:r>
      <w:proofErr w:type="gramEnd"/>
      <w:r w:rsidR="00410B6F">
        <w:rPr>
          <w:b/>
          <w:bCs/>
          <w:sz w:val="32"/>
          <w:szCs w:val="36"/>
        </w:rPr>
        <w:t xml:space="preserve"> IL </w:t>
      </w:r>
      <w:r>
        <w:rPr>
          <w:b/>
          <w:bCs/>
          <w:sz w:val="32"/>
          <w:szCs w:val="36"/>
        </w:rPr>
        <w:t xml:space="preserve">2025 </w:t>
      </w:r>
      <w:r w:rsidR="00405FC1">
        <w:rPr>
          <w:b/>
          <w:bCs/>
          <w:sz w:val="32"/>
          <w:szCs w:val="36"/>
        </w:rPr>
        <w:t>SAREMO</w:t>
      </w:r>
      <w:r w:rsidR="00410B6F">
        <w:rPr>
          <w:b/>
          <w:bCs/>
          <w:sz w:val="32"/>
          <w:szCs w:val="36"/>
        </w:rPr>
        <w:t xml:space="preserve"> ORFANI D</w:t>
      </w:r>
      <w:r w:rsidR="0000149C">
        <w:rPr>
          <w:b/>
          <w:bCs/>
          <w:sz w:val="32"/>
          <w:szCs w:val="36"/>
        </w:rPr>
        <w:t>ELLA SANITÀ PUBBLICA</w:t>
      </w:r>
      <w:r w:rsidR="00410B6F">
        <w:rPr>
          <w:b/>
          <w:bCs/>
          <w:sz w:val="32"/>
          <w:szCs w:val="36"/>
        </w:rPr>
        <w:t>?</w:t>
      </w:r>
    </w:p>
    <w:p w:rsidR="00AE1EFF" w:rsidRDefault="00D2652D" w:rsidP="004303BA">
      <w:pPr>
        <w:jc w:val="both"/>
        <w:rPr>
          <w:b/>
        </w:rPr>
      </w:pPr>
      <w:proofErr w:type="gramStart"/>
      <w:r>
        <w:rPr>
          <w:b/>
        </w:rPr>
        <w:t xml:space="preserve">ANCHE SE </w:t>
      </w:r>
      <w:r w:rsidR="00AE1EFF" w:rsidRPr="00AE1EFF">
        <w:rPr>
          <w:b/>
        </w:rPr>
        <w:t>NON ESISTE UN DISEGNO OCCULTO DI SMANTELLAMENTO E PRIVATIZZAZIONE DEL SERVIZIO SANITARIO NAZIONALE, CONTINUA A MANCARE UN P</w:t>
      </w:r>
      <w:r w:rsidR="00C54C86">
        <w:rPr>
          <w:b/>
        </w:rPr>
        <w:t>ROGRAMMA</w:t>
      </w:r>
      <w:proofErr w:type="gramEnd"/>
      <w:r w:rsidR="00C54C86">
        <w:rPr>
          <w:b/>
        </w:rPr>
        <w:t xml:space="preserve"> </w:t>
      </w:r>
      <w:r w:rsidR="00CD6B90">
        <w:rPr>
          <w:b/>
        </w:rPr>
        <w:t>POLITICO DI</w:t>
      </w:r>
      <w:r w:rsidR="00AE1EFF" w:rsidRPr="00AE1EFF">
        <w:rPr>
          <w:b/>
        </w:rPr>
        <w:t xml:space="preserve"> MEDIO-LUNGO TERMINE</w:t>
      </w:r>
      <w:r w:rsidR="00CD6B90">
        <w:rPr>
          <w:b/>
        </w:rPr>
        <w:t xml:space="preserve"> PER SALVAGUARDARLO</w:t>
      </w:r>
      <w:r w:rsidR="00AE1EFF">
        <w:rPr>
          <w:b/>
        </w:rPr>
        <w:t xml:space="preserve">. </w:t>
      </w:r>
      <w:proofErr w:type="gramStart"/>
      <w:r w:rsidR="00F24571">
        <w:rPr>
          <w:b/>
        </w:rPr>
        <w:t>LA FONDAZIONE GIMBE</w:t>
      </w:r>
      <w:r w:rsidR="00C97A89">
        <w:rPr>
          <w:b/>
        </w:rPr>
        <w:t xml:space="preserve"> </w:t>
      </w:r>
      <w:r w:rsidR="001E42B9">
        <w:rPr>
          <w:b/>
        </w:rPr>
        <w:t xml:space="preserve">HA ELABORATO </w:t>
      </w:r>
      <w:r w:rsidR="00287452">
        <w:rPr>
          <w:b/>
        </w:rPr>
        <w:t xml:space="preserve">UN </w:t>
      </w:r>
      <w:r w:rsidR="00373EDC">
        <w:rPr>
          <w:b/>
        </w:rPr>
        <w:t xml:space="preserve">DETTAGLIATO </w:t>
      </w:r>
      <w:r w:rsidR="00E52BE0" w:rsidRPr="00E52BE0">
        <w:rPr>
          <w:b/>
        </w:rPr>
        <w:t>“PIANO DI SALVATAGGIO”</w:t>
      </w:r>
      <w:r w:rsidR="001E42B9">
        <w:rPr>
          <w:b/>
        </w:rPr>
        <w:t xml:space="preserve"> </w:t>
      </w:r>
      <w:r w:rsidR="00820BE1">
        <w:rPr>
          <w:b/>
        </w:rPr>
        <w:t>CHE</w:t>
      </w:r>
      <w:r w:rsidR="0010685E">
        <w:rPr>
          <w:b/>
        </w:rPr>
        <w:t>, OLTRE AL</w:t>
      </w:r>
      <w:r w:rsidR="000064FE">
        <w:rPr>
          <w:b/>
        </w:rPr>
        <w:t xml:space="preserve"> </w:t>
      </w:r>
      <w:r w:rsidR="00A84F3D">
        <w:rPr>
          <w:b/>
        </w:rPr>
        <w:t>NECESSARI</w:t>
      </w:r>
      <w:r w:rsidR="0010685E">
        <w:rPr>
          <w:b/>
        </w:rPr>
        <w:t>O</w:t>
      </w:r>
      <w:r w:rsidR="00A84F3D">
        <w:rPr>
          <w:b/>
        </w:rPr>
        <w:t xml:space="preserve"> </w:t>
      </w:r>
      <w:r w:rsidR="004E3A57">
        <w:rPr>
          <w:b/>
        </w:rPr>
        <w:t xml:space="preserve">MA POCO PROBABILE </w:t>
      </w:r>
      <w:r w:rsidR="0010685E">
        <w:rPr>
          <w:b/>
        </w:rPr>
        <w:t xml:space="preserve">RILANCIO </w:t>
      </w:r>
      <w:r w:rsidR="000064FE">
        <w:rPr>
          <w:b/>
        </w:rPr>
        <w:t>DEL FINANZIAMENTO</w:t>
      </w:r>
      <w:proofErr w:type="gramEnd"/>
      <w:r w:rsidR="000064FE">
        <w:rPr>
          <w:b/>
        </w:rPr>
        <w:t xml:space="preserve"> PUBBLICO,</w:t>
      </w:r>
      <w:r w:rsidR="00820BE1">
        <w:rPr>
          <w:b/>
        </w:rPr>
        <w:t xml:space="preserve"> </w:t>
      </w:r>
      <w:r w:rsidR="00C97A89">
        <w:rPr>
          <w:b/>
        </w:rPr>
        <w:t xml:space="preserve">PREVEDE </w:t>
      </w:r>
      <w:r w:rsidR="00820BE1">
        <w:rPr>
          <w:b/>
        </w:rPr>
        <w:t xml:space="preserve">UNA </w:t>
      </w:r>
      <w:r w:rsidR="0010685E">
        <w:rPr>
          <w:b/>
        </w:rPr>
        <w:t xml:space="preserve">RIDEFINIZIONE DEL PERIMETRO DEI LEA, </w:t>
      </w:r>
      <w:r w:rsidR="00820BE1">
        <w:rPr>
          <w:b/>
        </w:rPr>
        <w:t xml:space="preserve">UN </w:t>
      </w:r>
      <w:r w:rsidR="00820BE1" w:rsidRPr="00820BE1">
        <w:rPr>
          <w:b/>
        </w:rPr>
        <w:t>PIANO NAZIONALE DI DISINVESTIMENTO DAGLI SPRECHI</w:t>
      </w:r>
      <w:r w:rsidR="0010685E">
        <w:rPr>
          <w:b/>
        </w:rPr>
        <w:t xml:space="preserve"> E UNA </w:t>
      </w:r>
      <w:r w:rsidR="0010685E" w:rsidRPr="00820BE1">
        <w:rPr>
          <w:b/>
        </w:rPr>
        <w:t>RIFORMA DELLA SANITÀ INTEGRATIVA</w:t>
      </w:r>
      <w:r w:rsidR="00957C85">
        <w:rPr>
          <w:b/>
        </w:rPr>
        <w:t xml:space="preserve">. </w:t>
      </w:r>
    </w:p>
    <w:p w:rsidR="00EB2C5F" w:rsidRDefault="00982328" w:rsidP="0067402D">
      <w:r>
        <w:t>Il 6 giugno l</w:t>
      </w:r>
      <w:r w:rsidR="00F214DB" w:rsidRPr="00F214DB">
        <w:t xml:space="preserve">a Fondazione GIMBE </w:t>
      </w:r>
      <w:r w:rsidR="00E52BE0" w:rsidRPr="00E52BE0">
        <w:t xml:space="preserve">ha presentato </w:t>
      </w:r>
      <w:r w:rsidR="001C7324">
        <w:t xml:space="preserve">alle Istituzioni </w:t>
      </w:r>
      <w:r w:rsidR="00E52BE0" w:rsidRPr="00E52BE0">
        <w:t xml:space="preserve">presso la </w:t>
      </w:r>
      <w:r w:rsidR="00E52BE0">
        <w:t>B</w:t>
      </w:r>
      <w:r w:rsidR="00E52BE0" w:rsidRPr="00E52BE0">
        <w:t xml:space="preserve">iblioteca del </w:t>
      </w:r>
      <w:r w:rsidR="00E52BE0">
        <w:t>S</w:t>
      </w:r>
      <w:r w:rsidR="00E52BE0" w:rsidRPr="00E52BE0">
        <w:t>enato “</w:t>
      </w:r>
      <w:r w:rsidR="00E52BE0">
        <w:t>G</w:t>
      </w:r>
      <w:r w:rsidR="00E52BE0" w:rsidRPr="00E52BE0">
        <w:t xml:space="preserve">iovanni </w:t>
      </w:r>
      <w:r w:rsidR="00E52BE0">
        <w:t>S</w:t>
      </w:r>
      <w:r w:rsidR="00E52BE0" w:rsidRPr="00E52BE0">
        <w:t xml:space="preserve">padolini” il </w:t>
      </w:r>
      <w:r w:rsidR="00886263">
        <w:t xml:space="preserve">2° </w:t>
      </w:r>
      <w:r w:rsidR="00E52BE0">
        <w:t xml:space="preserve">Rapporto sulla sostenibilità </w:t>
      </w:r>
      <w:r w:rsidR="00B56122">
        <w:t>del S</w:t>
      </w:r>
      <w:r w:rsidR="00E52BE0" w:rsidRPr="00E52BE0">
        <w:t>ervizi</w:t>
      </w:r>
      <w:r w:rsidR="00957C85">
        <w:t xml:space="preserve">o </w:t>
      </w:r>
      <w:r w:rsidR="00B56122">
        <w:t>S</w:t>
      </w:r>
      <w:r w:rsidR="00957C85">
        <w:t xml:space="preserve">anitario </w:t>
      </w:r>
      <w:r w:rsidR="00B56122">
        <w:t>N</w:t>
      </w:r>
      <w:r w:rsidR="00957C85">
        <w:t>azionale</w:t>
      </w:r>
      <w:r w:rsidR="00A31210">
        <w:t xml:space="preserve"> (SSN)</w:t>
      </w:r>
      <w:r w:rsidR="007B51E6">
        <w:t xml:space="preserve">: </w:t>
      </w:r>
      <w:r w:rsidR="00132082">
        <w:t>«</w:t>
      </w:r>
      <w:r w:rsidR="0010685E">
        <w:t xml:space="preserve">La Fondazione GIMBE </w:t>
      </w:r>
      <w:r w:rsidR="005F71F9">
        <w:t>– esordisce</w:t>
      </w:r>
      <w:r w:rsidR="007B51E6">
        <w:t xml:space="preserve"> il Presidente</w:t>
      </w:r>
      <w:r w:rsidR="005F71F9">
        <w:t xml:space="preserve"> </w:t>
      </w:r>
      <w:r w:rsidR="00132082">
        <w:t xml:space="preserve">Nino Cartabellotta – </w:t>
      </w:r>
      <w:proofErr w:type="gramStart"/>
      <w:r w:rsidR="0010685E">
        <w:t>ribadisce</w:t>
      </w:r>
      <w:proofErr w:type="gramEnd"/>
      <w:r w:rsidR="0010685E">
        <w:t xml:space="preserve"> quanto già affermato </w:t>
      </w:r>
      <w:r w:rsidR="007B51E6">
        <w:t>con la pubblicazione</w:t>
      </w:r>
      <w:r w:rsidR="0010685E">
        <w:t xml:space="preserve"> del precedente Rapporto: </w:t>
      </w:r>
      <w:r w:rsidR="00CD6DFA" w:rsidRPr="00132082">
        <w:t xml:space="preserve">non </w:t>
      </w:r>
      <w:r w:rsidR="00CD6DFA">
        <w:t xml:space="preserve">esiste </w:t>
      </w:r>
      <w:r w:rsidR="00685DB6">
        <w:t xml:space="preserve">alcun </w:t>
      </w:r>
      <w:r w:rsidR="00CD6DFA" w:rsidRPr="00132082">
        <w:t>disegno occulto di smantellamento e privatizzazione</w:t>
      </w:r>
      <w:r w:rsidR="00CD6DFA">
        <w:t xml:space="preserve"> del </w:t>
      </w:r>
      <w:r w:rsidR="00A31210">
        <w:t>SSN</w:t>
      </w:r>
      <w:r w:rsidR="00132082" w:rsidRPr="00132082">
        <w:t xml:space="preserve">, </w:t>
      </w:r>
      <w:r w:rsidR="00685DB6">
        <w:t xml:space="preserve">ma </w:t>
      </w:r>
      <w:r w:rsidR="00CD6DFA">
        <w:t xml:space="preserve">continua a mancare </w:t>
      </w:r>
      <w:r w:rsidR="00132082" w:rsidRPr="00132082">
        <w:t>un</w:t>
      </w:r>
      <w:r w:rsidR="00132082">
        <w:t xml:space="preserve"> </w:t>
      </w:r>
      <w:r w:rsidR="0010685E">
        <w:t>piano preciso di salvataggio</w:t>
      </w:r>
      <w:r w:rsidR="00CD6DFA">
        <w:t>,</w:t>
      </w:r>
      <w:r w:rsidR="0010685E">
        <w:t xml:space="preserve"> condizionato dalla </w:t>
      </w:r>
      <w:r w:rsidR="005E37DA">
        <w:t>limitata</w:t>
      </w:r>
      <w:r w:rsidR="0010685E">
        <w:t xml:space="preserve"> capacità</w:t>
      </w:r>
      <w:r w:rsidR="00752052">
        <w:t xml:space="preserve"> della politica</w:t>
      </w:r>
      <w:r w:rsidR="0010685E">
        <w:t xml:space="preserve"> di guardare a medio-lungo termine</w:t>
      </w:r>
      <w:r w:rsidR="00777690">
        <w:t xml:space="preserve">. </w:t>
      </w:r>
      <w:r w:rsidR="006707F5">
        <w:t>Nella consapevolezza</w:t>
      </w:r>
      <w:r w:rsidR="00777690">
        <w:t xml:space="preserve"> che la sanità </w:t>
      </w:r>
      <w:r w:rsidR="00777690" w:rsidRPr="00D40E17">
        <w:t xml:space="preserve">rappresenta </w:t>
      </w:r>
      <w:r w:rsidR="00777690">
        <w:t xml:space="preserve">sia </w:t>
      </w:r>
      <w:r w:rsidR="00777690" w:rsidRPr="00D40E17">
        <w:t>un</w:t>
      </w:r>
      <w:r w:rsidR="00777690">
        <w:t xml:space="preserve"> considerevole </w:t>
      </w:r>
      <w:r w:rsidR="00777690" w:rsidRPr="00D40E17">
        <w:t>capitolo di spesa pubblica da ottimizzare</w:t>
      </w:r>
      <w:r w:rsidR="00777690">
        <w:t xml:space="preserve">, sia </w:t>
      </w:r>
      <w:r w:rsidR="00777690" w:rsidRPr="00D40E17">
        <w:t xml:space="preserve">una leva </w:t>
      </w:r>
      <w:r w:rsidR="00777690">
        <w:t xml:space="preserve">di </w:t>
      </w:r>
      <w:r w:rsidR="00777690" w:rsidRPr="00D40E17">
        <w:t>sviluppo economico</w:t>
      </w:r>
      <w:r w:rsidR="00777690">
        <w:t xml:space="preserve"> da sostenere,</w:t>
      </w:r>
      <w:r w:rsidR="00777690" w:rsidDel="00777690">
        <w:t xml:space="preserve"> </w:t>
      </w:r>
      <w:r w:rsidR="00F97E31">
        <w:t xml:space="preserve">il Rapporto valuta </w:t>
      </w:r>
      <w:r w:rsidR="006707F5">
        <w:t xml:space="preserve">invece </w:t>
      </w:r>
      <w:r w:rsidR="005F71F9">
        <w:t>con un</w:t>
      </w:r>
      <w:r w:rsidR="00CD6B90">
        <w:t>a</w:t>
      </w:r>
      <w:r w:rsidR="005F71F9">
        <w:t xml:space="preserve"> prospettiva </w:t>
      </w:r>
      <w:r w:rsidR="00C577A9">
        <w:t xml:space="preserve">decennale </w:t>
      </w:r>
      <w:r w:rsidR="00D40E17">
        <w:t xml:space="preserve">il tema della sostenibilità </w:t>
      </w:r>
      <w:proofErr w:type="gramStart"/>
      <w:r w:rsidR="00C85EEF">
        <w:t>del</w:t>
      </w:r>
      <w:proofErr w:type="gramEnd"/>
      <w:r w:rsidR="00C85EEF">
        <w:t xml:space="preserve"> SSN</w:t>
      </w:r>
      <w:r w:rsidR="00D40E17">
        <w:t xml:space="preserve">, ripartendo </w:t>
      </w:r>
      <w:r w:rsidR="00984C33" w:rsidRPr="00D40E17">
        <w:t>dal</w:t>
      </w:r>
      <w:r w:rsidR="00C577A9">
        <w:t xml:space="preserve"> suo </w:t>
      </w:r>
      <w:r w:rsidR="00984C33" w:rsidRPr="00D40E17">
        <w:t>obiettivo primario</w:t>
      </w:r>
      <w:r w:rsidR="00777690">
        <w:t xml:space="preserve">: </w:t>
      </w:r>
      <w:r w:rsidR="007644E5">
        <w:t>promuovere, mantenere e recuperare</w:t>
      </w:r>
      <w:r w:rsidR="00D40E17">
        <w:t xml:space="preserve"> la salute delle persone</w:t>
      </w:r>
      <w:r w:rsidR="00EB2C5F" w:rsidRPr="00D40E17">
        <w:t>».</w:t>
      </w:r>
    </w:p>
    <w:p w:rsidR="008F5A3B" w:rsidRDefault="008F5A3B" w:rsidP="008F5A3B">
      <w:pPr>
        <w:spacing w:after="0"/>
      </w:pPr>
      <w:r>
        <w:t xml:space="preserve">Il Rapporto analizza in maniera dettagliata le quattro criticità che condizionano la </w:t>
      </w:r>
      <w:proofErr w:type="gramStart"/>
      <w:r>
        <w:t>sostenibilità</w:t>
      </w:r>
      <w:proofErr w:type="gramEnd"/>
    </w:p>
    <w:p w:rsidR="004C7929" w:rsidRDefault="008F5A3B" w:rsidP="001D38B9">
      <w:pPr>
        <w:spacing w:after="0"/>
      </w:pPr>
      <w:proofErr w:type="gramStart"/>
      <w:r>
        <w:t>del</w:t>
      </w:r>
      <w:proofErr w:type="gramEnd"/>
      <w:r>
        <w:t xml:space="preserve"> SSN</w:t>
      </w:r>
      <w:r w:rsidR="00AC0C82">
        <w:t xml:space="preserve">, formulando </w:t>
      </w:r>
      <w:r w:rsidR="009030D3">
        <w:t>specifiche proposte</w:t>
      </w:r>
      <w:r w:rsidR="00AC0C82">
        <w:t xml:space="preserve"> </w:t>
      </w:r>
      <w:r w:rsidR="00C54C86">
        <w:t xml:space="preserve">con </w:t>
      </w:r>
      <w:r w:rsidR="00C54C86" w:rsidRPr="00C54C86">
        <w:t>il “Piano di salvataggio” del S</w:t>
      </w:r>
      <w:r w:rsidR="00C54C86">
        <w:t>SN</w:t>
      </w:r>
      <w:r w:rsidR="00783A0B">
        <w:t xml:space="preserve">: </w:t>
      </w:r>
    </w:p>
    <w:p w:rsidR="00F97E31" w:rsidRDefault="004C7929" w:rsidP="004E3A57">
      <w:pPr>
        <w:spacing w:after="0"/>
      </w:pPr>
      <w:r>
        <w:rPr>
          <w:b/>
        </w:rPr>
        <w:t xml:space="preserve">Finanziamento pubblico. </w:t>
      </w:r>
      <w:r w:rsidR="00783A0B">
        <w:t>L</w:t>
      </w:r>
      <w:r>
        <w:t xml:space="preserve">a spesa sanitaria in Italia continua inesorabilmente a perdere terreno, sia considerando la </w:t>
      </w:r>
      <w:r w:rsidR="00A31210">
        <w:t>percentuale</w:t>
      </w:r>
      <w:r>
        <w:t xml:space="preserve"> del PIL</w:t>
      </w:r>
      <w:r w:rsidR="00A31210">
        <w:t>,</w:t>
      </w:r>
      <w:r>
        <w:t xml:space="preserve"> sia soprattutto la spesa pro-capite, inferiore alla media OCSE ($ 3.245 vs $ 3.976)</w:t>
      </w:r>
      <w:r w:rsidR="004F6AEC">
        <w:t>,</w:t>
      </w:r>
      <w:r>
        <w:t xml:space="preserve"> che </w:t>
      </w:r>
      <w:proofErr w:type="gramStart"/>
      <w:r>
        <w:t>posiziona</w:t>
      </w:r>
      <w:proofErr w:type="gramEnd"/>
      <w:r>
        <w:t xml:space="preserve"> l’Italia prima tra i paesi poveri dell’Europ</w:t>
      </w:r>
      <w:r w:rsidR="00783A0B">
        <w:t xml:space="preserve">a. </w:t>
      </w:r>
      <w:r>
        <w:t xml:space="preserve">«L’entità del definanziamento pubblico – </w:t>
      </w:r>
      <w:r w:rsidR="004F6AEC">
        <w:t xml:space="preserve">precisa </w:t>
      </w:r>
      <w:r>
        <w:t xml:space="preserve">Cartabellotta </w:t>
      </w:r>
      <w:r w:rsidR="004F6AEC">
        <w:t>–</w:t>
      </w:r>
      <w:r>
        <w:t xml:space="preserve"> emerge in maniera ancora più evidente confrontando la crescita percentuale della spesa pubblica nel 2009-2015, dove l’Italia </w:t>
      </w:r>
      <w:r w:rsidR="004F6AEC">
        <w:t xml:space="preserve">si attesta </w:t>
      </w:r>
      <w:r>
        <w:t>ultima</w:t>
      </w:r>
      <w:r w:rsidR="004F6AEC">
        <w:t>,</w:t>
      </w:r>
      <w:r>
        <w:t xml:space="preserve"> con un misero +2,9% (rispetto al 20% della media OCSE), precedendo solo Spagna, Portogallo e Grecia</w:t>
      </w:r>
      <w:r w:rsidR="004F6AEC">
        <w:t>, paesi in cui</w:t>
      </w:r>
      <w:r>
        <w:t xml:space="preserve"> si è verificata </w:t>
      </w:r>
      <w:r w:rsidR="004F6AEC">
        <w:t xml:space="preserve">addirittura </w:t>
      </w:r>
      <w:r>
        <w:t>una riduzione percentuale»</w:t>
      </w:r>
      <w:r w:rsidR="00783A0B">
        <w:t>.</w:t>
      </w:r>
      <w:r w:rsidR="004E3A57">
        <w:t xml:space="preserve"> Purtroppo, il Documento di Economia e Finanza (DEF) 2017 conferma che, se nel 2010-2015 la sanità si è fatta pesantemente carico della crisi economica del Paese, </w:t>
      </w:r>
      <w:proofErr w:type="gramStart"/>
      <w:r w:rsidR="004E3A57">
        <w:t xml:space="preserve">una </w:t>
      </w:r>
      <w:proofErr w:type="gramEnd"/>
      <w:r w:rsidR="004E3A57">
        <w:t xml:space="preserve">eventuale ripresa del PIL nei prossimi anni non avrà un corrispondente </w:t>
      </w:r>
      <w:r w:rsidR="00A31210">
        <w:t xml:space="preserve">impatto </w:t>
      </w:r>
      <w:r w:rsidR="004E3A57">
        <w:t xml:space="preserve">positivo sul finanziamento pubblico del SSN, perché il DEF 2017 ne ha ridotto in maniera rilevante la percentuale da destinare alla sanità. </w:t>
      </w:r>
    </w:p>
    <w:p w:rsidR="009030D3" w:rsidRDefault="00F97E31" w:rsidP="004C7929">
      <w:pPr>
        <w:spacing w:after="0"/>
        <w:rPr>
          <w:b/>
        </w:rPr>
      </w:pPr>
      <w:r>
        <w:rPr>
          <w:b/>
        </w:rPr>
        <w:t>Nuovi LEA</w:t>
      </w:r>
      <w:r>
        <w:t xml:space="preserve">. Il Rapporto </w:t>
      </w:r>
      <w:r w:rsidR="00CD4895">
        <w:t>esamina</w:t>
      </w:r>
      <w:r>
        <w:t xml:space="preserve"> in maniera analitica le criticità applicative dei nuovi LEA, un “paniere” di prestazioni </w:t>
      </w:r>
      <w:proofErr w:type="gramStart"/>
      <w:r>
        <w:t>estremamente</w:t>
      </w:r>
      <w:proofErr w:type="gramEnd"/>
      <w:r>
        <w:t xml:space="preserve"> ricco, ma che deve fare i conti con il pesante definanziamento pubblico. «Il vero problema – puntualizza il Presidente – è che il DPCM sui nuovi LEA </w:t>
      </w:r>
      <w:r w:rsidRPr="00F97E31">
        <w:t xml:space="preserve">non rende esplicita né la metodologia per inserire le prestazioni </w:t>
      </w:r>
      <w:proofErr w:type="gramStart"/>
      <w:r w:rsidRPr="00F97E31">
        <w:t>nei LEA</w:t>
      </w:r>
      <w:proofErr w:type="gramEnd"/>
      <w:r w:rsidRPr="00F97E31">
        <w:t xml:space="preserve">, né quella per </w:t>
      </w:r>
      <w:r w:rsidR="009030D3">
        <w:t>“sfoltirli”</w:t>
      </w:r>
      <w:r w:rsidRPr="00F97E31">
        <w:t xml:space="preserve">. In assenza di metodo si </w:t>
      </w:r>
      <w:proofErr w:type="gramStart"/>
      <w:r w:rsidRPr="00F97E31">
        <w:t>concretizzano</w:t>
      </w:r>
      <w:proofErr w:type="gramEnd"/>
      <w:r w:rsidRPr="00F97E31">
        <w:t xml:space="preserve"> situazioni paradossali, dove con il denaro pubblico vengono al tempo stesso rimborsate prestazioni </w:t>
      </w:r>
      <w:r>
        <w:t>futili o addirittura dal rapporto rischio-beneficio sfavorevole</w:t>
      </w:r>
      <w:r w:rsidRPr="00F97E31">
        <w:t xml:space="preserve">, mentre prestazioni </w:t>
      </w:r>
      <w:r>
        <w:t xml:space="preserve">indispensabili </w:t>
      </w:r>
      <w:r w:rsidR="00CD4895">
        <w:t>non vengono garantite</w:t>
      </w:r>
      <w:r w:rsidRPr="00D40E17">
        <w:t>».</w:t>
      </w:r>
    </w:p>
    <w:p w:rsidR="008F5A3B" w:rsidRDefault="009030D3" w:rsidP="001D38B9">
      <w:pPr>
        <w:spacing w:after="0"/>
      </w:pPr>
      <w:r>
        <w:rPr>
          <w:b/>
        </w:rPr>
        <w:t>Sanità integrativa</w:t>
      </w:r>
      <w:r>
        <w:t xml:space="preserve">. </w:t>
      </w:r>
      <w:r w:rsidR="00C45AAA">
        <w:t xml:space="preserve">Dei quasi € 35 miliardi di spesa privata, </w:t>
      </w:r>
      <w:proofErr w:type="gramStart"/>
      <w:r w:rsidR="00C45AAA">
        <w:t>l’88%</w:t>
      </w:r>
      <w:proofErr w:type="gramEnd"/>
      <w:r w:rsidR="00C45AAA">
        <w:t xml:space="preserve"> in Italia è a carico dei cittadini, con una spesa pro-capite annua di oltre € 500. </w:t>
      </w:r>
      <w:r w:rsidR="00C45AAA" w:rsidRPr="00D40E17">
        <w:t>«</w:t>
      </w:r>
      <w:r w:rsidR="00372887">
        <w:t xml:space="preserve">Le varie forme di sanità integrativa </w:t>
      </w:r>
      <w:r w:rsidR="00C45AAA">
        <w:t>– precisa Cartabellotta – “intermediano”</w:t>
      </w:r>
      <w:r w:rsidR="00372887">
        <w:t xml:space="preserve"> </w:t>
      </w:r>
      <w:proofErr w:type="gramStart"/>
      <w:r w:rsidR="00372887">
        <w:t>infatti</w:t>
      </w:r>
      <w:proofErr w:type="gramEnd"/>
      <w:r w:rsidR="00C45AAA">
        <w:t xml:space="preserve"> solo il 12,</w:t>
      </w:r>
      <w:r w:rsidR="00372887">
        <w:t>8</w:t>
      </w:r>
      <w:r w:rsidR="00C45AAA">
        <w:t xml:space="preserve">% della spesa privata, collocando l’Italia agli ultimi posti dei paesi dell’OCSE. Peraltro, la frammentazione legislativa </w:t>
      </w:r>
      <w:r w:rsidR="00C45AAA" w:rsidRPr="00C45AAA">
        <w:t xml:space="preserve">ha generato un </w:t>
      </w:r>
      <w:r w:rsidR="00C45AAA">
        <w:t xml:space="preserve">paradosso </w:t>
      </w:r>
      <w:r w:rsidR="00C45AAA" w:rsidRPr="00C45AAA">
        <w:t xml:space="preserve">inaccettabile: </w:t>
      </w:r>
      <w:r w:rsidR="0000149C">
        <w:t xml:space="preserve">se </w:t>
      </w:r>
      <w:r w:rsidR="00C45AAA" w:rsidRPr="00C45AAA">
        <w:t xml:space="preserve">i </w:t>
      </w:r>
      <w:r w:rsidR="0000149C">
        <w:t>fondi sanitari integrativi non possono</w:t>
      </w:r>
      <w:r w:rsidR="00C45AAA" w:rsidRPr="00C45AAA">
        <w:t xml:space="preserve"> coprire prestazioni essenziali, molte di queste oggi </w:t>
      </w:r>
      <w:proofErr w:type="gramStart"/>
      <w:r w:rsidR="00C45AAA" w:rsidRPr="00C45AAA">
        <w:t>vengono</w:t>
      </w:r>
      <w:proofErr w:type="gramEnd"/>
      <w:r w:rsidR="00C45AAA" w:rsidRPr="00C45AAA">
        <w:t xml:space="preserve"> sostenute </w:t>
      </w:r>
      <w:r w:rsidR="00372887">
        <w:t xml:space="preserve">dalle </w:t>
      </w:r>
      <w:r w:rsidR="00372887">
        <w:lastRenderedPageBreak/>
        <w:t>assicurazioni private</w:t>
      </w:r>
      <w:r w:rsidR="00C45AAA" w:rsidRPr="00C45AAA">
        <w:t>, che si sta</w:t>
      </w:r>
      <w:r w:rsidR="00372887">
        <w:t>nno</w:t>
      </w:r>
      <w:r w:rsidR="00C45AAA" w:rsidRPr="00C45AAA">
        <w:t xml:space="preserve"> insinuando tra incertezze delle Istituzioni e minori tutele della sanità pubblica, rischiando di trasformare silenziosamente, ma inesorabilmente, il modello di un SSN pubblico, equo e univ</w:t>
      </w:r>
      <w:r w:rsidR="00C45AAA">
        <w:t>ersalistico in un sistema misto</w:t>
      </w:r>
      <w:r w:rsidR="00C45AAA" w:rsidRPr="00D40E17">
        <w:t>».</w:t>
      </w:r>
    </w:p>
    <w:p w:rsidR="00566974" w:rsidRDefault="004C7929" w:rsidP="00864335">
      <w:pPr>
        <w:spacing w:after="0"/>
      </w:pPr>
      <w:r w:rsidRPr="004C7929">
        <w:rPr>
          <w:b/>
        </w:rPr>
        <w:t>Spechi e inefficienze</w:t>
      </w:r>
      <w:r>
        <w:t xml:space="preserve">. </w:t>
      </w:r>
      <w:r w:rsidR="009030D3">
        <w:t>Il Rapporto aggiorna le stime sull’i</w:t>
      </w:r>
      <w:r w:rsidR="008F5A3B">
        <w:t xml:space="preserve">mpatto degli sprechi </w:t>
      </w:r>
      <w:r w:rsidR="008F5A3B" w:rsidRPr="00957C85">
        <w:t>sulla spesa sanitaria pubblica</w:t>
      </w:r>
      <w:r>
        <w:t xml:space="preserve"> 2016</w:t>
      </w:r>
      <w:r w:rsidR="008F5A3B">
        <w:t>:</w:t>
      </w:r>
      <w:r w:rsidR="008F5A3B" w:rsidRPr="008F5A3B">
        <w:t xml:space="preserve"> </w:t>
      </w:r>
      <w:r w:rsidR="008F5A3B">
        <w:t>€ 22,51</w:t>
      </w:r>
      <w:r w:rsidR="008F5A3B" w:rsidRPr="008F5A3B">
        <w:t xml:space="preserve"> miliardi </w:t>
      </w:r>
      <w:proofErr w:type="gramStart"/>
      <w:r w:rsidR="008F5A3B" w:rsidRPr="008F5A3B">
        <w:t>erosi</w:t>
      </w:r>
      <w:proofErr w:type="gramEnd"/>
      <w:r w:rsidR="008F5A3B" w:rsidRPr="008F5A3B">
        <w:t xml:space="preserve"> da sovra-utilizzo, frodi e abusi, acquisti a costi eccessivi, sotto-utilizzo, complessità amministrative, inadeguato coordinamento dell’assistenza.</w:t>
      </w:r>
      <w:r w:rsidR="008F5A3B">
        <w:t xml:space="preserve"> </w:t>
      </w:r>
      <w:r w:rsidR="002D1CBC" w:rsidRPr="00D40E17">
        <w:t>«</w:t>
      </w:r>
      <w:r w:rsidR="00927D6F">
        <w:t xml:space="preserve">Quest’anno </w:t>
      </w:r>
      <w:r w:rsidR="00C0043D" w:rsidRPr="00D40E17">
        <w:t xml:space="preserve">– </w:t>
      </w:r>
      <w:r>
        <w:t>aggiunge</w:t>
      </w:r>
      <w:r w:rsidR="00C0043D" w:rsidRPr="00D40E17">
        <w:t xml:space="preserve"> il Presidente –</w:t>
      </w:r>
      <w:r w:rsidR="00864335">
        <w:t xml:space="preserve"> </w:t>
      </w:r>
      <w:r w:rsidR="00927D6F">
        <w:t xml:space="preserve">abbiamo elaborato “carte </w:t>
      </w:r>
      <w:proofErr w:type="gramStart"/>
      <w:r w:rsidR="00927D6F">
        <w:t xml:space="preserve">di </w:t>
      </w:r>
      <w:proofErr w:type="gramEnd"/>
      <w:r w:rsidR="00927D6F">
        <w:t>identità” per ciascuna delle sei categorie e</w:t>
      </w:r>
      <w:r w:rsidR="00284792">
        <w:t>,</w:t>
      </w:r>
      <w:r w:rsidR="00927D6F">
        <w:t xml:space="preserve"> </w:t>
      </w:r>
      <w:r w:rsidR="00284792">
        <w:t xml:space="preserve">sulla base delle iniziative rilevanti realizzate dall’Agenas </w:t>
      </w:r>
      <w:r w:rsidR="00A31210">
        <w:t>e dall’Autorità Nazionale Antic</w:t>
      </w:r>
      <w:r w:rsidR="00284792">
        <w:t xml:space="preserve">orruzione, abbiamo </w:t>
      </w:r>
      <w:r w:rsidR="00927D6F">
        <w:t xml:space="preserve">sviluppato </w:t>
      </w:r>
      <w:r>
        <w:t>la</w:t>
      </w:r>
      <w:r w:rsidR="00864335">
        <w:t xml:space="preserve"> tassonomia </w:t>
      </w:r>
      <w:r>
        <w:t xml:space="preserve">GIMBE </w:t>
      </w:r>
      <w:r w:rsidR="00864335">
        <w:t>di frodi e abusi in sanità, integrando fonti bibliografiche internazionali, casistiche giurisprudenziali, fatti e fenomeni nazionali</w:t>
      </w:r>
      <w:r w:rsidR="002D1CBC" w:rsidRPr="00D40E17">
        <w:t>».</w:t>
      </w:r>
    </w:p>
    <w:p w:rsidR="00C45AAA" w:rsidRDefault="00C45AAA" w:rsidP="008F5A3B">
      <w:pPr>
        <w:spacing w:after="0"/>
      </w:pPr>
    </w:p>
    <w:p w:rsidR="004C7929" w:rsidRDefault="00864335" w:rsidP="008F5A3B">
      <w:pPr>
        <w:spacing w:after="0"/>
      </w:pPr>
      <w:proofErr w:type="spellStart"/>
      <w:proofErr w:type="gramStart"/>
      <w:r w:rsidRPr="00864335">
        <w:t>Agnès</w:t>
      </w:r>
      <w:proofErr w:type="spellEnd"/>
      <w:r w:rsidRPr="00864335">
        <w:t xml:space="preserve"> </w:t>
      </w:r>
      <w:proofErr w:type="spellStart"/>
      <w:r w:rsidRPr="00864335">
        <w:t>Couffinhal</w:t>
      </w:r>
      <w:proofErr w:type="spellEnd"/>
      <w:r>
        <w:t xml:space="preserve"> </w:t>
      </w:r>
      <w:r w:rsidR="008F5A3B">
        <w:t xml:space="preserve">– </w:t>
      </w:r>
      <w:r w:rsidR="008F5A3B" w:rsidRPr="00864335">
        <w:rPr>
          <w:i/>
        </w:rPr>
        <w:t xml:space="preserve">senior </w:t>
      </w:r>
      <w:proofErr w:type="spellStart"/>
      <w:r w:rsidR="008F5A3B" w:rsidRPr="00864335">
        <w:rPr>
          <w:i/>
        </w:rPr>
        <w:t>economist</w:t>
      </w:r>
      <w:proofErr w:type="spellEnd"/>
      <w:r w:rsidR="008F5A3B">
        <w:t xml:space="preserve"> dell’OCSE – ha confermato le stime GIMBE sugli sprechi, presentando</w:t>
      </w:r>
      <w:r w:rsidR="00DD593A">
        <w:t xml:space="preserve"> per la prima volta in Italia</w:t>
      </w:r>
      <w:r w:rsidR="008F5A3B">
        <w:t xml:space="preserve"> </w:t>
      </w:r>
      <w:r w:rsidR="00DD593A">
        <w:t xml:space="preserve">il report </w:t>
      </w:r>
      <w:proofErr w:type="spellStart"/>
      <w:r w:rsidR="008F5A3B" w:rsidRPr="008F5A3B">
        <w:rPr>
          <w:i/>
        </w:rPr>
        <w:t>Tackling</w:t>
      </w:r>
      <w:proofErr w:type="spellEnd"/>
      <w:r w:rsidR="008F5A3B" w:rsidRPr="008F5A3B">
        <w:rPr>
          <w:i/>
        </w:rPr>
        <w:t xml:space="preserve"> </w:t>
      </w:r>
      <w:proofErr w:type="spellStart"/>
      <w:r w:rsidR="008F5A3B" w:rsidRPr="008F5A3B">
        <w:rPr>
          <w:i/>
        </w:rPr>
        <w:t>Wasteful</w:t>
      </w:r>
      <w:proofErr w:type="spellEnd"/>
      <w:r w:rsidR="008F5A3B" w:rsidRPr="008F5A3B">
        <w:rPr>
          <w:i/>
        </w:rPr>
        <w:t xml:space="preserve"> </w:t>
      </w:r>
      <w:proofErr w:type="spellStart"/>
      <w:r w:rsidR="008F5A3B" w:rsidRPr="008F5A3B">
        <w:rPr>
          <w:i/>
        </w:rPr>
        <w:t>Spending</w:t>
      </w:r>
      <w:proofErr w:type="spellEnd"/>
      <w:r w:rsidR="008F5A3B" w:rsidRPr="008F5A3B">
        <w:rPr>
          <w:i/>
        </w:rPr>
        <w:t xml:space="preserve"> on Health</w:t>
      </w:r>
      <w:r w:rsidR="007A66DF">
        <w:t xml:space="preserve">: </w:t>
      </w:r>
      <w:r w:rsidR="008F5A3B">
        <w:t xml:space="preserve">«Le </w:t>
      </w:r>
      <w:r>
        <w:t xml:space="preserve">evidenze sugli sprechi nei sistemi sanitari – ha precisato la curatrice del report </w:t>
      </w:r>
      <w:r w:rsidR="00262274">
        <w:t>–</w:t>
      </w:r>
      <w:r>
        <w:t xml:space="preserve"> </w:t>
      </w:r>
      <w:r w:rsidR="008F5A3B">
        <w:t>sono inequivocabili</w:t>
      </w:r>
      <w:r w:rsidR="00262274">
        <w:t xml:space="preserve">: </w:t>
      </w:r>
      <w:r w:rsidR="008F5A3B">
        <w:t>non è più tempo di disquisire sulla loro es</w:t>
      </w:r>
      <w:r>
        <w:t xml:space="preserve">istenza, ma bisogna agire senza </w:t>
      </w:r>
      <w:r w:rsidR="008F5A3B">
        <w:t>indugi.</w:t>
      </w:r>
      <w:proofErr w:type="gramEnd"/>
      <w:r w:rsidR="008F5A3B">
        <w:t xml:space="preserve"> </w:t>
      </w:r>
      <w:proofErr w:type="gramStart"/>
      <w:r>
        <w:t>Considerato che</w:t>
      </w:r>
      <w:proofErr w:type="gramEnd"/>
      <w:r>
        <w:t xml:space="preserve"> c</w:t>
      </w:r>
      <w:r w:rsidR="008F5A3B">
        <w:t>irca 1/5 della spesa sanitaria apporta un contributo minimo o nullo al miglioramento della salute delle persone</w:t>
      </w:r>
      <w:r w:rsidR="00262274">
        <w:t>,</w:t>
      </w:r>
      <w:r>
        <w:t xml:space="preserve"> </w:t>
      </w:r>
      <w:r w:rsidR="008F5A3B">
        <w:t xml:space="preserve">tutti gli stakeholder sono chiamati a </w:t>
      </w:r>
      <w:r w:rsidR="00262274">
        <w:t xml:space="preserve">collaborare per </w:t>
      </w:r>
      <w:r w:rsidR="008F5A3B">
        <w:t>tagliare gli sprec</w:t>
      </w:r>
      <w:r w:rsidR="00587F5D">
        <w:t>hi con precisione chirurgica</w:t>
      </w:r>
      <w:r w:rsidR="008F5A3B">
        <w:t>»</w:t>
      </w:r>
    </w:p>
    <w:p w:rsidR="00E34AAD" w:rsidRDefault="00E34AAD" w:rsidP="00EB7589">
      <w:pPr>
        <w:spacing w:after="0"/>
      </w:pPr>
    </w:p>
    <w:p w:rsidR="00B64FD7" w:rsidRDefault="002D1CBC" w:rsidP="00864335">
      <w:r>
        <w:t>«</w:t>
      </w:r>
      <w:r w:rsidR="00243F05">
        <w:rPr>
          <w:color w:val="000000" w:themeColor="text1"/>
        </w:rPr>
        <w:t>Secondo le nostre stime</w:t>
      </w:r>
      <w:r w:rsidR="005A2279">
        <w:rPr>
          <w:color w:val="000000" w:themeColor="text1"/>
        </w:rPr>
        <w:t>, che restano</w:t>
      </w:r>
      <w:r w:rsidR="009030D3">
        <w:rPr>
          <w:color w:val="000000" w:themeColor="text1"/>
        </w:rPr>
        <w:t xml:space="preserve"> </w:t>
      </w:r>
      <w:proofErr w:type="gramStart"/>
      <w:r w:rsidR="00685DB6">
        <w:rPr>
          <w:color w:val="000000" w:themeColor="text1"/>
        </w:rPr>
        <w:t>estremamente</w:t>
      </w:r>
      <w:proofErr w:type="gramEnd"/>
      <w:r w:rsidR="00685DB6">
        <w:rPr>
          <w:color w:val="000000" w:themeColor="text1"/>
        </w:rPr>
        <w:t xml:space="preserve"> conservative </w:t>
      </w:r>
      <w:r w:rsidR="00243F05">
        <w:t xml:space="preserve">– </w:t>
      </w:r>
      <w:r w:rsidR="006455B8">
        <w:t xml:space="preserve">conclude </w:t>
      </w:r>
      <w:r w:rsidR="005F71F9">
        <w:t>Cartabellotta – nel 2025</w:t>
      </w:r>
      <w:r w:rsidR="000B2168">
        <w:t xml:space="preserve"> il fabbisogno </w:t>
      </w:r>
      <w:r w:rsidR="00243F05">
        <w:t>del SSN sarà</w:t>
      </w:r>
      <w:r w:rsidR="00243F05">
        <w:rPr>
          <w:color w:val="000000" w:themeColor="text1"/>
        </w:rPr>
        <w:t xml:space="preserve"> di</w:t>
      </w:r>
      <w:r w:rsidR="008E190A">
        <w:rPr>
          <w:color w:val="000000" w:themeColor="text1"/>
        </w:rPr>
        <w:t xml:space="preserve"> </w:t>
      </w:r>
      <w:r w:rsidR="00685DB6">
        <w:rPr>
          <w:color w:val="000000" w:themeColor="text1"/>
        </w:rPr>
        <w:t xml:space="preserve">€ </w:t>
      </w:r>
      <w:r w:rsidR="008E190A">
        <w:rPr>
          <w:color w:val="000000" w:themeColor="text1"/>
        </w:rPr>
        <w:t>21</w:t>
      </w:r>
      <w:r w:rsidR="00994D71">
        <w:rPr>
          <w:color w:val="000000" w:themeColor="text1"/>
        </w:rPr>
        <w:t>0 miliardi</w:t>
      </w:r>
      <w:r w:rsidR="00067ACA">
        <w:rPr>
          <w:color w:val="000000" w:themeColor="text1"/>
        </w:rPr>
        <w:t xml:space="preserve">, cifra che può essere </w:t>
      </w:r>
      <w:r w:rsidR="00EE622A">
        <w:rPr>
          <w:color w:val="000000" w:themeColor="text1"/>
        </w:rPr>
        <w:t>raggiunta</w:t>
      </w:r>
      <w:r w:rsidR="00C0043D">
        <w:rPr>
          <w:color w:val="000000" w:themeColor="text1"/>
        </w:rPr>
        <w:t xml:space="preserve"> solo </w:t>
      </w:r>
      <w:r w:rsidR="007644E5">
        <w:rPr>
          <w:color w:val="000000" w:themeColor="text1"/>
        </w:rPr>
        <w:t xml:space="preserve">con </w:t>
      </w:r>
      <w:r w:rsidR="00994D71">
        <w:rPr>
          <w:color w:val="000000" w:themeColor="text1"/>
        </w:rPr>
        <w:t>l</w:t>
      </w:r>
      <w:r w:rsidR="00994D71" w:rsidRPr="00C96A92">
        <w:rPr>
          <w:color w:val="000000" w:themeColor="text1"/>
        </w:rPr>
        <w:t xml:space="preserve">’apporto costante di tre </w:t>
      </w:r>
      <w:r w:rsidR="00994D71">
        <w:rPr>
          <w:color w:val="000000" w:themeColor="text1"/>
        </w:rPr>
        <w:t>“</w:t>
      </w:r>
      <w:r w:rsidR="00994D71" w:rsidRPr="00C96A92">
        <w:rPr>
          <w:color w:val="000000" w:themeColor="text1"/>
        </w:rPr>
        <w:t>cunei</w:t>
      </w:r>
      <w:r w:rsidR="00566974">
        <w:rPr>
          <w:color w:val="000000" w:themeColor="text1"/>
        </w:rPr>
        <w:t xml:space="preserve"> di stabilizzazione</w:t>
      </w:r>
      <w:r w:rsidR="00994D71">
        <w:rPr>
          <w:color w:val="000000" w:themeColor="text1"/>
        </w:rPr>
        <w:t>”</w:t>
      </w:r>
      <w:r w:rsidR="00994D71" w:rsidRPr="00C96A92">
        <w:rPr>
          <w:color w:val="000000" w:themeColor="text1"/>
        </w:rPr>
        <w:t xml:space="preserve">: </w:t>
      </w:r>
      <w:r w:rsidR="00566974">
        <w:rPr>
          <w:color w:val="000000" w:themeColor="text1"/>
        </w:rPr>
        <w:t xml:space="preserve">piano nazionale di </w:t>
      </w:r>
      <w:r w:rsidR="00994D71" w:rsidRPr="00C96A92">
        <w:rPr>
          <w:color w:val="000000" w:themeColor="text1"/>
        </w:rPr>
        <w:t xml:space="preserve">disinvestimento </w:t>
      </w:r>
      <w:r w:rsidR="00685DB6">
        <w:rPr>
          <w:color w:val="000000" w:themeColor="text1"/>
        </w:rPr>
        <w:t xml:space="preserve">da </w:t>
      </w:r>
      <w:r w:rsidR="00994D71" w:rsidRPr="00C96A92">
        <w:rPr>
          <w:color w:val="000000" w:themeColor="text1"/>
        </w:rPr>
        <w:t>sprechi</w:t>
      </w:r>
      <w:r w:rsidR="00566974">
        <w:rPr>
          <w:color w:val="000000" w:themeColor="text1"/>
        </w:rPr>
        <w:t xml:space="preserve"> e</w:t>
      </w:r>
      <w:r w:rsidR="00685DB6">
        <w:rPr>
          <w:color w:val="000000" w:themeColor="text1"/>
        </w:rPr>
        <w:t xml:space="preserve"> inefficienze</w:t>
      </w:r>
      <w:r w:rsidR="00C54C86">
        <w:rPr>
          <w:color w:val="000000" w:themeColor="text1"/>
        </w:rPr>
        <w:t xml:space="preserve">, </w:t>
      </w:r>
      <w:r w:rsidR="00C54C86" w:rsidRPr="00C96A92">
        <w:rPr>
          <w:color w:val="000000" w:themeColor="text1"/>
        </w:rPr>
        <w:t>incremento della quota in</w:t>
      </w:r>
      <w:r w:rsidR="00C54C86">
        <w:rPr>
          <w:color w:val="000000" w:themeColor="text1"/>
        </w:rPr>
        <w:t>termediata della spesa privata</w:t>
      </w:r>
      <w:r w:rsidR="00685DB6">
        <w:rPr>
          <w:color w:val="000000" w:themeColor="text1"/>
        </w:rPr>
        <w:t xml:space="preserve"> e</w:t>
      </w:r>
      <w:r w:rsidR="00566974">
        <w:rPr>
          <w:color w:val="000000" w:themeColor="text1"/>
        </w:rPr>
        <w:t xml:space="preserve">, ovviamente, </w:t>
      </w:r>
      <w:r w:rsidR="00EE622A">
        <w:rPr>
          <w:color w:val="000000" w:themeColor="text1"/>
        </w:rPr>
        <w:t xml:space="preserve">adeguata </w:t>
      </w:r>
      <w:r w:rsidR="00566974" w:rsidRPr="00C96A92">
        <w:rPr>
          <w:color w:val="000000" w:themeColor="text1"/>
        </w:rPr>
        <w:t>ripresa del finanziamento pubblico</w:t>
      </w:r>
      <w:r w:rsidR="006455B8">
        <w:t xml:space="preserve">. </w:t>
      </w:r>
      <w:r w:rsidR="00864335">
        <w:t>In assenza di un programma di tale portata</w:t>
      </w:r>
      <w:r w:rsidR="006455B8">
        <w:t>, la</w:t>
      </w:r>
      <w:r w:rsidR="00864335">
        <w:t xml:space="preserve"> </w:t>
      </w:r>
      <w:r w:rsidR="00C54C86">
        <w:t xml:space="preserve">lenta </w:t>
      </w:r>
      <w:r w:rsidR="00864335">
        <w:t>trasformazione verso un sistema s</w:t>
      </w:r>
      <w:r w:rsidR="00C54C86">
        <w:t xml:space="preserve">anitario misto sarà inesorabile, consegnando </w:t>
      </w:r>
      <w:r w:rsidR="00864335">
        <w:t>definitivame</w:t>
      </w:r>
      <w:r w:rsidR="00685DB6">
        <w:t xml:space="preserve">nte alla storia il nostro tanto </w:t>
      </w:r>
      <w:r w:rsidR="00864335">
        <w:t xml:space="preserve">invidiato sistema di welfare. </w:t>
      </w:r>
      <w:proofErr w:type="gramStart"/>
      <w:r w:rsidR="00864335">
        <w:t>Ma</w:t>
      </w:r>
      <w:proofErr w:type="gramEnd"/>
      <w:r w:rsidR="00864335">
        <w:t>, se anche questa sarà la strada, la politica non potrà esimersi dal giocare un ruolo attivo, avviando una rigorosa governance della delicata fase di transizione con il fine di proteggere le fasce più deboli e di ridurre al minimo le diseguaglianze</w:t>
      </w:r>
      <w:r w:rsidR="00B64FD7">
        <w:t>».</w:t>
      </w:r>
    </w:p>
    <w:p w:rsidR="00996C28" w:rsidRDefault="00CC4F1D" w:rsidP="00391AD2">
      <w:r>
        <w:t xml:space="preserve">La versione </w:t>
      </w:r>
      <w:r w:rsidR="00754EA3">
        <w:t xml:space="preserve">integrale del Rapporto GIMBE è disponibile </w:t>
      </w:r>
      <w:r w:rsidR="008F43E5">
        <w:t xml:space="preserve">per la consultazione pubblica </w:t>
      </w:r>
      <w:r w:rsidR="00754EA3">
        <w:t>a</w:t>
      </w:r>
      <w:r w:rsidR="00677934">
        <w:t>ll’indirizzo web</w:t>
      </w:r>
      <w:r w:rsidR="00754EA3">
        <w:t xml:space="preserve">: </w:t>
      </w:r>
      <w:bookmarkStart w:id="0" w:name="_GoBack"/>
      <w:r w:rsidR="00573D6B">
        <w:fldChar w:fldCharType="begin"/>
      </w:r>
      <w:r w:rsidR="00573D6B">
        <w:instrText xml:space="preserve"> HYPERLINK "http://</w:instrText>
      </w:r>
      <w:r w:rsidR="00573D6B" w:rsidRPr="00573D6B">
        <w:instrText>www.</w:instrText>
      </w:r>
      <w:r w:rsidR="00573D6B">
        <w:instrText xml:space="preserve">rapportogimbe.it" </w:instrText>
      </w:r>
      <w:r w:rsidR="00573D6B">
        <w:fldChar w:fldCharType="separate"/>
      </w:r>
      <w:r w:rsidR="00573D6B" w:rsidRPr="005F45EA">
        <w:rPr>
          <w:rStyle w:val="Collegamentoipertestuale"/>
        </w:rPr>
        <w:t>www.rapportogimbe.it</w:t>
      </w:r>
      <w:r w:rsidR="00573D6B">
        <w:fldChar w:fldCharType="end"/>
      </w:r>
      <w:r w:rsidR="00573D6B">
        <w:t xml:space="preserve"> </w:t>
      </w:r>
      <w:r w:rsidR="00754EA3">
        <w:t xml:space="preserve"> </w:t>
      </w:r>
      <w:bookmarkEnd w:id="0"/>
    </w:p>
    <w:tbl>
      <w:tblPr>
        <w:tblStyle w:val="Grigliatabella"/>
        <w:tblW w:w="0" w:type="auto"/>
        <w:tblLook w:val="04A0" w:firstRow="1" w:lastRow="0" w:firstColumn="1" w:lastColumn="0" w:noHBand="0" w:noVBand="1"/>
      </w:tblPr>
      <w:tblGrid>
        <w:gridCol w:w="9778"/>
      </w:tblGrid>
      <w:tr w:rsidR="008F43E5" w:rsidRPr="008F5A3B" w:rsidTr="008F43E5">
        <w:tc>
          <w:tcPr>
            <w:tcW w:w="9778" w:type="dxa"/>
          </w:tcPr>
          <w:p w:rsidR="008F43E5" w:rsidRPr="008F5A3B" w:rsidRDefault="00B9203C" w:rsidP="008F5A3B">
            <w:pPr>
              <w:spacing w:line="276" w:lineRule="auto"/>
              <w:rPr>
                <w:rFonts w:cstheme="minorHAnsi"/>
              </w:rPr>
            </w:pPr>
            <w:r w:rsidRPr="008F5A3B">
              <w:rPr>
                <w:rFonts w:cstheme="minorHAnsi"/>
                <w:b/>
              </w:rPr>
              <w:t xml:space="preserve">Rapporto GIMBE: il </w:t>
            </w:r>
            <w:r w:rsidR="008F43E5" w:rsidRPr="008F5A3B">
              <w:rPr>
                <w:rFonts w:cstheme="minorHAnsi"/>
                <w:b/>
              </w:rPr>
              <w:t>“Piano di salvataggio” del S</w:t>
            </w:r>
            <w:r w:rsidR="007A4846" w:rsidRPr="008F5A3B">
              <w:rPr>
                <w:rFonts w:cstheme="minorHAnsi"/>
                <w:b/>
              </w:rPr>
              <w:t xml:space="preserve">ervizio </w:t>
            </w:r>
            <w:r w:rsidR="008F43E5" w:rsidRPr="008F5A3B">
              <w:rPr>
                <w:rFonts w:cstheme="minorHAnsi"/>
                <w:b/>
              </w:rPr>
              <w:t>S</w:t>
            </w:r>
            <w:r w:rsidR="007A4846" w:rsidRPr="008F5A3B">
              <w:rPr>
                <w:rFonts w:cstheme="minorHAnsi"/>
                <w:b/>
              </w:rPr>
              <w:t xml:space="preserve">anitario </w:t>
            </w:r>
            <w:proofErr w:type="gramStart"/>
            <w:r w:rsidR="008F43E5" w:rsidRPr="008F5A3B">
              <w:rPr>
                <w:rFonts w:cstheme="minorHAnsi"/>
                <w:b/>
              </w:rPr>
              <w:t>N</w:t>
            </w:r>
            <w:r w:rsidR="007A4846" w:rsidRPr="008F5A3B">
              <w:rPr>
                <w:rFonts w:cstheme="minorHAnsi"/>
                <w:b/>
              </w:rPr>
              <w:t>azionale</w:t>
            </w:r>
            <w:proofErr w:type="gramEnd"/>
          </w:p>
          <w:p w:rsidR="009030D3" w:rsidRPr="009030D3" w:rsidRDefault="008F5A3B" w:rsidP="008F5A3B">
            <w:pPr>
              <w:pStyle w:val="Paragrafoelenco"/>
              <w:numPr>
                <w:ilvl w:val="0"/>
                <w:numId w:val="21"/>
              </w:numPr>
              <w:autoSpaceDE w:val="0"/>
              <w:autoSpaceDN w:val="0"/>
              <w:adjustRightInd w:val="0"/>
              <w:spacing w:line="276" w:lineRule="auto"/>
              <w:rPr>
                <w:rFonts w:asciiTheme="minorHAnsi" w:hAnsiTheme="minorHAnsi" w:cstheme="minorHAnsi"/>
                <w:color w:val="000000"/>
              </w:rPr>
            </w:pPr>
            <w:r>
              <w:rPr>
                <w:rFonts w:asciiTheme="minorHAnsi" w:hAnsiTheme="minorHAnsi" w:cstheme="minorHAnsi"/>
                <w:color w:val="000000"/>
              </w:rPr>
              <w:t>O</w:t>
            </w:r>
            <w:r w:rsidRPr="008F5A3B">
              <w:rPr>
                <w:rFonts w:asciiTheme="minorHAnsi" w:hAnsiTheme="minorHAnsi" w:cstheme="minorHAnsi"/>
                <w:color w:val="000000"/>
              </w:rPr>
              <w:t xml:space="preserve">ffrire ragionevoli certezze sulle risorse destinate </w:t>
            </w:r>
            <w:proofErr w:type="gramStart"/>
            <w:r w:rsidRPr="008F5A3B">
              <w:rPr>
                <w:rFonts w:asciiTheme="minorHAnsi" w:hAnsiTheme="minorHAnsi" w:cstheme="minorHAnsi"/>
                <w:color w:val="000000"/>
              </w:rPr>
              <w:t>al</w:t>
            </w:r>
            <w:proofErr w:type="gramEnd"/>
            <w:r w:rsidRPr="008F5A3B">
              <w:rPr>
                <w:rFonts w:asciiTheme="minorHAnsi" w:hAnsiTheme="minorHAnsi" w:cstheme="minorHAnsi"/>
                <w:color w:val="000000"/>
              </w:rPr>
              <w:t xml:space="preserve"> SSN, mettendo fine alle annuali revisioni al</w:t>
            </w:r>
            <w:r w:rsidR="009030D3">
              <w:rPr>
                <w:rFonts w:asciiTheme="minorHAnsi" w:hAnsiTheme="minorHAnsi" w:cstheme="minorHAnsi"/>
                <w:color w:val="000000"/>
              </w:rPr>
              <w:t xml:space="preserve"> </w:t>
            </w:r>
            <w:r w:rsidRPr="009030D3">
              <w:rPr>
                <w:rFonts w:asciiTheme="minorHAnsi" w:hAnsiTheme="minorHAnsi" w:cstheme="minorHAnsi"/>
                <w:color w:val="000000"/>
              </w:rPr>
              <w:t>ribasso rispetto alle previsioni e soprattutto con un graduale rilancio del finanziamento pubblico.</w:t>
            </w:r>
          </w:p>
          <w:p w:rsidR="008F5A3B" w:rsidRPr="008F5A3B" w:rsidRDefault="008F5A3B" w:rsidP="008F5A3B">
            <w:pPr>
              <w:pStyle w:val="Paragrafoelenco"/>
              <w:numPr>
                <w:ilvl w:val="0"/>
                <w:numId w:val="21"/>
              </w:numPr>
              <w:autoSpaceDE w:val="0"/>
              <w:autoSpaceDN w:val="0"/>
              <w:adjustRightInd w:val="0"/>
              <w:spacing w:line="276" w:lineRule="auto"/>
              <w:rPr>
                <w:rFonts w:asciiTheme="minorHAnsi" w:hAnsiTheme="minorHAnsi" w:cstheme="minorHAnsi"/>
                <w:color w:val="000000"/>
              </w:rPr>
            </w:pPr>
            <w:r>
              <w:rPr>
                <w:rFonts w:asciiTheme="minorHAnsi" w:hAnsiTheme="minorHAnsi" w:cstheme="minorHAnsi"/>
                <w:color w:val="000000"/>
              </w:rPr>
              <w:t>R</w:t>
            </w:r>
            <w:r w:rsidRPr="008F5A3B">
              <w:rPr>
                <w:rFonts w:asciiTheme="minorHAnsi" w:hAnsiTheme="minorHAnsi" w:cstheme="minorHAnsi"/>
                <w:color w:val="000000"/>
              </w:rPr>
              <w:t xml:space="preserve">imodulare </w:t>
            </w:r>
            <w:proofErr w:type="gramStart"/>
            <w:r w:rsidRPr="008F5A3B">
              <w:rPr>
                <w:rFonts w:asciiTheme="minorHAnsi" w:hAnsiTheme="minorHAnsi" w:cstheme="minorHAnsi"/>
                <w:color w:val="000000"/>
              </w:rPr>
              <w:t>i LEA</w:t>
            </w:r>
            <w:proofErr w:type="gramEnd"/>
            <w:r w:rsidRPr="008F5A3B">
              <w:rPr>
                <w:rFonts w:asciiTheme="minorHAnsi" w:hAnsiTheme="minorHAnsi" w:cstheme="minorHAnsi"/>
                <w:color w:val="000000"/>
              </w:rPr>
              <w:t xml:space="preserve"> sotto il segno del </w:t>
            </w:r>
            <w:r w:rsidRPr="008F5A3B">
              <w:rPr>
                <w:rFonts w:asciiTheme="minorHAnsi" w:hAnsiTheme="minorHAnsi" w:cstheme="minorHAnsi"/>
                <w:i/>
                <w:iCs/>
                <w:color w:val="000000"/>
              </w:rPr>
              <w:t>value</w:t>
            </w:r>
            <w:r w:rsidRPr="008F5A3B">
              <w:rPr>
                <w:rFonts w:asciiTheme="minorHAnsi" w:hAnsiTheme="minorHAnsi" w:cstheme="minorHAnsi"/>
                <w:color w:val="000000"/>
              </w:rPr>
              <w:t xml:space="preserve">, per garantire a tutti i cittadini servizi e prestazioni sanitarie ad elevato </w:t>
            </w:r>
            <w:r w:rsidRPr="008F5A3B">
              <w:rPr>
                <w:rFonts w:asciiTheme="minorHAnsi" w:hAnsiTheme="minorHAnsi" w:cstheme="minorHAnsi"/>
                <w:i/>
                <w:iCs/>
                <w:color w:val="000000"/>
              </w:rPr>
              <w:t>value</w:t>
            </w:r>
            <w:r w:rsidRPr="008F5A3B">
              <w:rPr>
                <w:rFonts w:asciiTheme="minorHAnsi" w:hAnsiTheme="minorHAnsi" w:cstheme="minorHAnsi"/>
                <w:color w:val="000000"/>
              </w:rPr>
              <w:t xml:space="preserve">, destinando quelle dal basso </w:t>
            </w:r>
            <w:r w:rsidRPr="008F5A3B">
              <w:rPr>
                <w:rFonts w:asciiTheme="minorHAnsi" w:hAnsiTheme="minorHAnsi" w:cstheme="minorHAnsi"/>
                <w:i/>
                <w:iCs/>
                <w:color w:val="000000"/>
              </w:rPr>
              <w:t xml:space="preserve">value </w:t>
            </w:r>
            <w:r w:rsidRPr="008F5A3B">
              <w:rPr>
                <w:rFonts w:asciiTheme="minorHAnsi" w:hAnsiTheme="minorHAnsi" w:cstheme="minorHAnsi"/>
                <w:color w:val="000000"/>
              </w:rPr>
              <w:t xml:space="preserve">alla spesa privata e impedendo l’erogazione di prestazioni dal </w:t>
            </w:r>
            <w:r w:rsidRPr="008F5A3B">
              <w:rPr>
                <w:rFonts w:asciiTheme="minorHAnsi" w:hAnsiTheme="minorHAnsi" w:cstheme="minorHAnsi"/>
                <w:i/>
                <w:iCs/>
                <w:color w:val="000000"/>
              </w:rPr>
              <w:t xml:space="preserve">value </w:t>
            </w:r>
            <w:r>
              <w:rPr>
                <w:rFonts w:asciiTheme="minorHAnsi" w:hAnsiTheme="minorHAnsi" w:cstheme="minorHAnsi"/>
                <w:color w:val="000000"/>
              </w:rPr>
              <w:t>negativo.</w:t>
            </w:r>
          </w:p>
          <w:p w:rsidR="008F5A3B" w:rsidRPr="008F5A3B" w:rsidRDefault="008F5A3B" w:rsidP="008F5A3B">
            <w:pPr>
              <w:pStyle w:val="Paragrafoelenco"/>
              <w:numPr>
                <w:ilvl w:val="0"/>
                <w:numId w:val="21"/>
              </w:numPr>
              <w:autoSpaceDE w:val="0"/>
              <w:autoSpaceDN w:val="0"/>
              <w:adjustRightInd w:val="0"/>
              <w:spacing w:line="276" w:lineRule="auto"/>
              <w:rPr>
                <w:rFonts w:asciiTheme="minorHAnsi" w:hAnsiTheme="minorHAnsi" w:cstheme="minorHAnsi"/>
                <w:color w:val="000000"/>
              </w:rPr>
            </w:pPr>
            <w:proofErr w:type="gramStart"/>
            <w:r>
              <w:rPr>
                <w:rFonts w:asciiTheme="minorHAnsi" w:hAnsiTheme="minorHAnsi" w:cstheme="minorHAnsi"/>
                <w:color w:val="000000"/>
              </w:rPr>
              <w:t>R</w:t>
            </w:r>
            <w:r w:rsidRPr="008F5A3B">
              <w:rPr>
                <w:rFonts w:asciiTheme="minorHAnsi" w:hAnsiTheme="minorHAnsi" w:cstheme="minorHAnsi"/>
                <w:color w:val="000000"/>
              </w:rPr>
              <w:t xml:space="preserve">idefinire i criteri della compartecipazione alla spesa sanitaria e le detrazioni per spese sanitarie a fini IRPEF, tenendo conto anche del </w:t>
            </w:r>
            <w:proofErr w:type="gramEnd"/>
            <w:r w:rsidRPr="008F5A3B">
              <w:rPr>
                <w:rFonts w:asciiTheme="minorHAnsi" w:hAnsiTheme="minorHAnsi" w:cstheme="minorHAnsi"/>
                <w:i/>
                <w:iCs/>
                <w:color w:val="000000"/>
              </w:rPr>
              <w:t xml:space="preserve">value </w:t>
            </w:r>
            <w:r>
              <w:rPr>
                <w:rFonts w:asciiTheme="minorHAnsi" w:hAnsiTheme="minorHAnsi" w:cstheme="minorHAnsi"/>
                <w:color w:val="000000"/>
              </w:rPr>
              <w:t>delle prestazioni sanitarie.</w:t>
            </w:r>
          </w:p>
          <w:p w:rsidR="008F5A3B" w:rsidRPr="008F5A3B" w:rsidRDefault="008F5A3B" w:rsidP="008F5A3B">
            <w:pPr>
              <w:pStyle w:val="Paragrafoelenco"/>
              <w:numPr>
                <w:ilvl w:val="0"/>
                <w:numId w:val="21"/>
              </w:numPr>
              <w:autoSpaceDE w:val="0"/>
              <w:autoSpaceDN w:val="0"/>
              <w:adjustRightInd w:val="0"/>
              <w:spacing w:line="276" w:lineRule="auto"/>
              <w:rPr>
                <w:rFonts w:asciiTheme="minorHAnsi" w:hAnsiTheme="minorHAnsi" w:cstheme="minorHAnsi"/>
                <w:color w:val="000000"/>
              </w:rPr>
            </w:pPr>
            <w:r>
              <w:rPr>
                <w:rFonts w:asciiTheme="minorHAnsi" w:hAnsiTheme="minorHAnsi" w:cstheme="minorHAnsi"/>
                <w:color w:val="000000"/>
              </w:rPr>
              <w:t xml:space="preserve">Attuare </w:t>
            </w:r>
            <w:r w:rsidRPr="008F5A3B">
              <w:rPr>
                <w:rFonts w:asciiTheme="minorHAnsi" w:hAnsiTheme="minorHAnsi" w:cstheme="minorHAnsi"/>
                <w:color w:val="000000"/>
              </w:rPr>
              <w:t>al più presto un riordino legis</w:t>
            </w:r>
            <w:r>
              <w:rPr>
                <w:rFonts w:asciiTheme="minorHAnsi" w:hAnsiTheme="minorHAnsi" w:cstheme="minorHAnsi"/>
                <w:color w:val="000000"/>
              </w:rPr>
              <w:t>lativo della sanità integrativa.</w:t>
            </w:r>
          </w:p>
          <w:p w:rsidR="008F5A3B" w:rsidRPr="008F5A3B" w:rsidRDefault="008F5A3B" w:rsidP="008F5A3B">
            <w:pPr>
              <w:pStyle w:val="Paragrafoelenco"/>
              <w:numPr>
                <w:ilvl w:val="0"/>
                <w:numId w:val="21"/>
              </w:numPr>
              <w:autoSpaceDE w:val="0"/>
              <w:autoSpaceDN w:val="0"/>
              <w:adjustRightInd w:val="0"/>
              <w:spacing w:line="276" w:lineRule="auto"/>
              <w:rPr>
                <w:rFonts w:asciiTheme="minorHAnsi" w:hAnsiTheme="minorHAnsi" w:cstheme="minorHAnsi"/>
                <w:color w:val="000000"/>
              </w:rPr>
            </w:pPr>
            <w:r>
              <w:rPr>
                <w:rFonts w:asciiTheme="minorHAnsi" w:hAnsiTheme="minorHAnsi" w:cstheme="minorHAnsi"/>
                <w:color w:val="000000"/>
              </w:rPr>
              <w:t>A</w:t>
            </w:r>
            <w:r w:rsidRPr="008F5A3B">
              <w:rPr>
                <w:rFonts w:asciiTheme="minorHAnsi" w:hAnsiTheme="minorHAnsi" w:cstheme="minorHAnsi"/>
                <w:color w:val="000000"/>
              </w:rPr>
              <w:t xml:space="preserve">vviare un piano nazionale di prevenzione e riduzione degli sprechi, al fine di disinvestire e riallocare almeno </w:t>
            </w:r>
            <w:proofErr w:type="gramStart"/>
            <w:r w:rsidRPr="008F5A3B">
              <w:rPr>
                <w:rFonts w:asciiTheme="minorHAnsi" w:hAnsiTheme="minorHAnsi" w:cstheme="minorHAnsi"/>
                <w:color w:val="000000"/>
              </w:rPr>
              <w:t>1</w:t>
            </w:r>
            <w:proofErr w:type="gramEnd"/>
            <w:r w:rsidRPr="008F5A3B">
              <w:rPr>
                <w:rFonts w:asciiTheme="minorHAnsi" w:hAnsiTheme="minorHAnsi" w:cstheme="minorHAnsi"/>
                <w:color w:val="000000"/>
              </w:rPr>
              <w:t xml:space="preserve"> de</w:t>
            </w:r>
            <w:r>
              <w:rPr>
                <w:rFonts w:asciiTheme="minorHAnsi" w:hAnsiTheme="minorHAnsi" w:cstheme="minorHAnsi"/>
                <w:color w:val="000000"/>
              </w:rPr>
              <w:t>i 2 euro sprecati ogni 10 spesi.</w:t>
            </w:r>
          </w:p>
          <w:p w:rsidR="008F43E5" w:rsidRPr="008F5A3B" w:rsidRDefault="008F5A3B" w:rsidP="008F5A3B">
            <w:pPr>
              <w:pStyle w:val="Paragrafoelenco"/>
              <w:numPr>
                <w:ilvl w:val="0"/>
                <w:numId w:val="21"/>
              </w:numPr>
              <w:autoSpaceDE w:val="0"/>
              <w:autoSpaceDN w:val="0"/>
              <w:adjustRightInd w:val="0"/>
              <w:spacing w:line="276" w:lineRule="auto"/>
              <w:rPr>
                <w:rFonts w:asciiTheme="minorHAnsi" w:hAnsiTheme="minorHAnsi" w:cstheme="minorHAnsi"/>
                <w:color w:val="000000"/>
              </w:rPr>
            </w:pPr>
            <w:r>
              <w:rPr>
                <w:rFonts w:asciiTheme="minorHAnsi" w:hAnsiTheme="minorHAnsi" w:cstheme="minorHAnsi"/>
                <w:color w:val="000000"/>
              </w:rPr>
              <w:t>M</w:t>
            </w:r>
            <w:r w:rsidRPr="008F5A3B">
              <w:rPr>
                <w:rFonts w:asciiTheme="minorHAnsi" w:hAnsiTheme="minorHAnsi" w:cstheme="minorHAnsi"/>
                <w:color w:val="000000"/>
              </w:rPr>
              <w:t>ettere sempre la salute al centro di tutte le decisioni (</w:t>
            </w:r>
            <w:proofErr w:type="spellStart"/>
            <w:r w:rsidRPr="008F5A3B">
              <w:rPr>
                <w:rFonts w:asciiTheme="minorHAnsi" w:hAnsiTheme="minorHAnsi" w:cstheme="minorHAnsi"/>
                <w:i/>
                <w:iCs/>
                <w:color w:val="000000"/>
              </w:rPr>
              <w:t>health</w:t>
            </w:r>
            <w:proofErr w:type="spellEnd"/>
            <w:r w:rsidRPr="008F5A3B">
              <w:rPr>
                <w:rFonts w:asciiTheme="minorHAnsi" w:hAnsiTheme="minorHAnsi" w:cstheme="minorHAnsi"/>
                <w:i/>
                <w:iCs/>
                <w:color w:val="000000"/>
              </w:rPr>
              <w:t xml:space="preserve"> in </w:t>
            </w:r>
            <w:proofErr w:type="spellStart"/>
            <w:r w:rsidRPr="008F5A3B">
              <w:rPr>
                <w:rFonts w:asciiTheme="minorHAnsi" w:hAnsiTheme="minorHAnsi" w:cstheme="minorHAnsi"/>
                <w:i/>
                <w:iCs/>
                <w:color w:val="000000"/>
              </w:rPr>
              <w:t>all</w:t>
            </w:r>
            <w:proofErr w:type="spellEnd"/>
            <w:r w:rsidRPr="008F5A3B">
              <w:rPr>
                <w:rFonts w:asciiTheme="minorHAnsi" w:hAnsiTheme="minorHAnsi" w:cstheme="minorHAnsi"/>
                <w:i/>
                <w:iCs/>
                <w:color w:val="000000"/>
              </w:rPr>
              <w:t xml:space="preserve"> </w:t>
            </w:r>
            <w:proofErr w:type="spellStart"/>
            <w:r w:rsidRPr="008F5A3B">
              <w:rPr>
                <w:rFonts w:asciiTheme="minorHAnsi" w:hAnsiTheme="minorHAnsi" w:cstheme="minorHAnsi"/>
                <w:i/>
                <w:iCs/>
                <w:color w:val="000000"/>
              </w:rPr>
              <w:t>policies</w:t>
            </w:r>
            <w:proofErr w:type="spellEnd"/>
            <w:r w:rsidRPr="008F5A3B">
              <w:rPr>
                <w:rFonts w:asciiTheme="minorHAnsi" w:hAnsiTheme="minorHAnsi" w:cstheme="minorHAnsi"/>
                <w:color w:val="000000"/>
              </w:rPr>
              <w:t xml:space="preserve">), in particolare di quelle che coinvolgono lo sviluppo economico del Paese, per evitare che domani la sanità </w:t>
            </w:r>
            <w:proofErr w:type="gramStart"/>
            <w:r w:rsidRPr="008F5A3B">
              <w:rPr>
                <w:rFonts w:asciiTheme="minorHAnsi" w:hAnsiTheme="minorHAnsi" w:cstheme="minorHAnsi"/>
                <w:color w:val="000000"/>
              </w:rPr>
              <w:t>paghi</w:t>
            </w:r>
            <w:proofErr w:type="gramEnd"/>
            <w:r w:rsidRPr="008F5A3B">
              <w:rPr>
                <w:rFonts w:asciiTheme="minorHAnsi" w:hAnsiTheme="minorHAnsi" w:cstheme="minorHAnsi"/>
                <w:color w:val="000000"/>
              </w:rPr>
              <w:t xml:space="preserve"> “con gli interessi” quello che oggi appare una grande conquista.</w:t>
            </w:r>
          </w:p>
        </w:tc>
      </w:tr>
    </w:tbl>
    <w:p w:rsidR="00982328" w:rsidRDefault="00982328" w:rsidP="00DC2A0C">
      <w:pPr>
        <w:spacing w:after="0"/>
        <w:rPr>
          <w:rFonts w:ascii="Calibri" w:eastAsia="Calibri" w:hAnsi="Calibri" w:cs="Times New Roman"/>
          <w:b/>
          <w:bCs/>
        </w:rPr>
      </w:pPr>
    </w:p>
    <w:p w:rsidR="00DC2A0C" w:rsidRPr="00E3755B" w:rsidRDefault="00DC2A0C" w:rsidP="00DC2A0C">
      <w:pPr>
        <w:spacing w:after="0"/>
        <w:rPr>
          <w:rFonts w:ascii="Calibri" w:eastAsia="Calibri" w:hAnsi="Calibri" w:cs="Times New Roman"/>
          <w:sz w:val="20"/>
          <w:szCs w:val="20"/>
        </w:rPr>
      </w:pPr>
      <w:r w:rsidRPr="00E3755B">
        <w:rPr>
          <w:rFonts w:ascii="Calibri" w:eastAsia="Calibri" w:hAnsi="Calibri" w:cs="Times New Roman"/>
          <w:b/>
          <w:bCs/>
        </w:rPr>
        <w:lastRenderedPageBreak/>
        <w:t>Fondazione GIMBE</w:t>
      </w:r>
      <w:r w:rsidRPr="00E3755B">
        <w:rPr>
          <w:rFonts w:ascii="Trebuchet MS" w:eastAsia="Calibri" w:hAnsi="Trebuchet MS" w:cs="Times New Roman"/>
        </w:rPr>
        <w:br/>
      </w:r>
      <w:r w:rsidRPr="00E3755B">
        <w:rPr>
          <w:rFonts w:ascii="Calibri" w:eastAsia="Calibri" w:hAnsi="Calibri" w:cs="Times New Roman"/>
          <w:sz w:val="20"/>
          <w:szCs w:val="20"/>
        </w:rPr>
        <w:t>Via Amendola 2 - 40121 Bologna</w:t>
      </w:r>
    </w:p>
    <w:p w:rsidR="00DC2A0C" w:rsidRPr="00E3755B" w:rsidRDefault="00DC2A0C" w:rsidP="00DC2A0C">
      <w:pPr>
        <w:spacing w:after="0"/>
        <w:rPr>
          <w:rFonts w:ascii="Calibri" w:eastAsia="Calibri" w:hAnsi="Calibri" w:cs="Times New Roman"/>
          <w:sz w:val="20"/>
          <w:szCs w:val="20"/>
        </w:rPr>
      </w:pPr>
      <w:r w:rsidRPr="00E3755B">
        <w:rPr>
          <w:rFonts w:ascii="Calibri" w:eastAsia="Calibri" w:hAnsi="Calibri" w:cs="Times New Roman"/>
          <w:sz w:val="20"/>
          <w:szCs w:val="20"/>
        </w:rPr>
        <w:t>Tel. 051 5883920 - Fax 051 4075774</w:t>
      </w:r>
    </w:p>
    <w:p w:rsidR="00F9162E" w:rsidRPr="006B4075" w:rsidRDefault="00DC2A0C" w:rsidP="00C96A92">
      <w:pPr>
        <w:spacing w:after="0"/>
        <w:rPr>
          <w:rFonts w:ascii="Calibri" w:eastAsia="Calibri" w:hAnsi="Calibri" w:cs="Times New Roman"/>
          <w:sz w:val="20"/>
          <w:szCs w:val="20"/>
        </w:rPr>
      </w:pPr>
      <w:r w:rsidRPr="00E3755B">
        <w:rPr>
          <w:rFonts w:ascii="Calibri" w:eastAsia="Calibri" w:hAnsi="Calibri" w:cs="Times New Roman"/>
          <w:sz w:val="20"/>
          <w:szCs w:val="20"/>
        </w:rPr>
        <w:t xml:space="preserve">E-mail: </w:t>
      </w:r>
      <w:hyperlink r:id="rId9" w:history="1">
        <w:r w:rsidRPr="00E3755B">
          <w:rPr>
            <w:rFonts w:ascii="Calibri" w:eastAsia="Calibri" w:hAnsi="Calibri" w:cs="Times New Roman"/>
            <w:sz w:val="20"/>
            <w:szCs w:val="20"/>
          </w:rPr>
          <w:t>ufficio.stampa@gimbe.org</w:t>
        </w:r>
      </w:hyperlink>
    </w:p>
    <w:sectPr w:rsidR="00F9162E" w:rsidRPr="006B407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A37" w:rsidRDefault="00782A37" w:rsidP="00ED0CFD">
      <w:pPr>
        <w:spacing w:after="0" w:line="240" w:lineRule="auto"/>
      </w:pPr>
      <w:r>
        <w:separator/>
      </w:r>
    </w:p>
  </w:endnote>
  <w:endnote w:type="continuationSeparator" w:id="0">
    <w:p w:rsidR="00782A37" w:rsidRDefault="00782A37" w:rsidP="00ED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A37" w:rsidRDefault="00782A37" w:rsidP="00ED0CFD">
      <w:pPr>
        <w:spacing w:after="0" w:line="240" w:lineRule="auto"/>
      </w:pPr>
      <w:r>
        <w:separator/>
      </w:r>
    </w:p>
  </w:footnote>
  <w:footnote w:type="continuationSeparator" w:id="0">
    <w:p w:rsidR="00782A37" w:rsidRDefault="00782A37" w:rsidP="00ED0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B3606"/>
    <w:multiLevelType w:val="hybridMultilevel"/>
    <w:tmpl w:val="6AF47F8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8A073A8"/>
    <w:multiLevelType w:val="hybridMultilevel"/>
    <w:tmpl w:val="72908F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EC64119"/>
    <w:multiLevelType w:val="hybridMultilevel"/>
    <w:tmpl w:val="64D6E2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3B0603F"/>
    <w:multiLevelType w:val="hybridMultilevel"/>
    <w:tmpl w:val="518CF2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78259EF"/>
    <w:multiLevelType w:val="hybridMultilevel"/>
    <w:tmpl w:val="D61ED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2BD829D7"/>
    <w:multiLevelType w:val="hybridMultilevel"/>
    <w:tmpl w:val="8C3C60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E46490B"/>
    <w:multiLevelType w:val="hybridMultilevel"/>
    <w:tmpl w:val="889C551A"/>
    <w:lvl w:ilvl="0" w:tplc="307C4A34">
      <w:start w:val="1"/>
      <w:numFmt w:val="bullet"/>
      <w:lvlText w:val=""/>
      <w:lvlJc w:val="left"/>
      <w:pPr>
        <w:ind w:left="360" w:hanging="360"/>
      </w:pPr>
      <w:rPr>
        <w:rFonts w:ascii="Symbol" w:hAnsi="Symbol"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F5028A0"/>
    <w:multiLevelType w:val="hybridMultilevel"/>
    <w:tmpl w:val="C9FEBD5A"/>
    <w:lvl w:ilvl="0" w:tplc="A914E83C">
      <w:start w:val="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82628E5"/>
    <w:multiLevelType w:val="hybridMultilevel"/>
    <w:tmpl w:val="2ABA6530"/>
    <w:lvl w:ilvl="0" w:tplc="FC6C4C0E">
      <w:start w:val="28"/>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48CD1426"/>
    <w:multiLevelType w:val="hybridMultilevel"/>
    <w:tmpl w:val="4CA0E6EA"/>
    <w:lvl w:ilvl="0" w:tplc="5166346A">
      <w:start w:val="1"/>
      <w:numFmt w:val="bullet"/>
      <w:lvlText w:val="•"/>
      <w:lvlJc w:val="left"/>
      <w:pPr>
        <w:tabs>
          <w:tab w:val="num" w:pos="720"/>
        </w:tabs>
        <w:ind w:left="720" w:hanging="360"/>
      </w:pPr>
      <w:rPr>
        <w:rFonts w:ascii="Times New Roman" w:hAnsi="Times New Roman" w:cs="Times New Roman" w:hint="default"/>
      </w:rPr>
    </w:lvl>
    <w:lvl w:ilvl="1" w:tplc="199E43A6">
      <w:start w:val="1"/>
      <w:numFmt w:val="bullet"/>
      <w:lvlText w:val="•"/>
      <w:lvlJc w:val="left"/>
      <w:pPr>
        <w:tabs>
          <w:tab w:val="num" w:pos="1440"/>
        </w:tabs>
        <w:ind w:left="1440" w:hanging="360"/>
      </w:pPr>
      <w:rPr>
        <w:rFonts w:ascii="Times New Roman" w:hAnsi="Times New Roman" w:cs="Times New Roman" w:hint="default"/>
      </w:rPr>
    </w:lvl>
    <w:lvl w:ilvl="2" w:tplc="A1502A9E">
      <w:start w:val="1"/>
      <w:numFmt w:val="bullet"/>
      <w:lvlText w:val="•"/>
      <w:lvlJc w:val="left"/>
      <w:pPr>
        <w:tabs>
          <w:tab w:val="num" w:pos="2160"/>
        </w:tabs>
        <w:ind w:left="2160" w:hanging="360"/>
      </w:pPr>
      <w:rPr>
        <w:rFonts w:ascii="Times New Roman" w:hAnsi="Times New Roman" w:cs="Times New Roman" w:hint="default"/>
      </w:rPr>
    </w:lvl>
    <w:lvl w:ilvl="3" w:tplc="4994264A">
      <w:start w:val="1"/>
      <w:numFmt w:val="bullet"/>
      <w:lvlText w:val="•"/>
      <w:lvlJc w:val="left"/>
      <w:pPr>
        <w:tabs>
          <w:tab w:val="num" w:pos="2880"/>
        </w:tabs>
        <w:ind w:left="2880" w:hanging="360"/>
      </w:pPr>
      <w:rPr>
        <w:rFonts w:ascii="Times New Roman" w:hAnsi="Times New Roman" w:cs="Times New Roman" w:hint="default"/>
      </w:rPr>
    </w:lvl>
    <w:lvl w:ilvl="4" w:tplc="3E40A376">
      <w:start w:val="1"/>
      <w:numFmt w:val="bullet"/>
      <w:lvlText w:val="•"/>
      <w:lvlJc w:val="left"/>
      <w:pPr>
        <w:tabs>
          <w:tab w:val="num" w:pos="3600"/>
        </w:tabs>
        <w:ind w:left="3600" w:hanging="360"/>
      </w:pPr>
      <w:rPr>
        <w:rFonts w:ascii="Times New Roman" w:hAnsi="Times New Roman" w:cs="Times New Roman" w:hint="default"/>
      </w:rPr>
    </w:lvl>
    <w:lvl w:ilvl="5" w:tplc="7F26466A">
      <w:start w:val="1"/>
      <w:numFmt w:val="bullet"/>
      <w:lvlText w:val="•"/>
      <w:lvlJc w:val="left"/>
      <w:pPr>
        <w:tabs>
          <w:tab w:val="num" w:pos="4320"/>
        </w:tabs>
        <w:ind w:left="4320" w:hanging="360"/>
      </w:pPr>
      <w:rPr>
        <w:rFonts w:ascii="Times New Roman" w:hAnsi="Times New Roman" w:cs="Times New Roman" w:hint="default"/>
      </w:rPr>
    </w:lvl>
    <w:lvl w:ilvl="6" w:tplc="DDF46EFE">
      <w:start w:val="1"/>
      <w:numFmt w:val="bullet"/>
      <w:lvlText w:val="•"/>
      <w:lvlJc w:val="left"/>
      <w:pPr>
        <w:tabs>
          <w:tab w:val="num" w:pos="5040"/>
        </w:tabs>
        <w:ind w:left="5040" w:hanging="360"/>
      </w:pPr>
      <w:rPr>
        <w:rFonts w:ascii="Times New Roman" w:hAnsi="Times New Roman" w:cs="Times New Roman" w:hint="default"/>
      </w:rPr>
    </w:lvl>
    <w:lvl w:ilvl="7" w:tplc="8698ED2E">
      <w:start w:val="1"/>
      <w:numFmt w:val="bullet"/>
      <w:lvlText w:val="•"/>
      <w:lvlJc w:val="left"/>
      <w:pPr>
        <w:tabs>
          <w:tab w:val="num" w:pos="5760"/>
        </w:tabs>
        <w:ind w:left="5760" w:hanging="360"/>
      </w:pPr>
      <w:rPr>
        <w:rFonts w:ascii="Times New Roman" w:hAnsi="Times New Roman" w:cs="Times New Roman" w:hint="default"/>
      </w:rPr>
    </w:lvl>
    <w:lvl w:ilvl="8" w:tplc="C78AA426">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4FF1232A"/>
    <w:multiLevelType w:val="multilevel"/>
    <w:tmpl w:val="5AA4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164247"/>
    <w:multiLevelType w:val="hybridMultilevel"/>
    <w:tmpl w:val="A0A2ED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75229DE"/>
    <w:multiLevelType w:val="hybridMultilevel"/>
    <w:tmpl w:val="E9003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8C659F4"/>
    <w:multiLevelType w:val="hybridMultilevel"/>
    <w:tmpl w:val="3A8A0F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606E2BA6"/>
    <w:multiLevelType w:val="hybridMultilevel"/>
    <w:tmpl w:val="9B20C5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61303CF9"/>
    <w:multiLevelType w:val="hybridMultilevel"/>
    <w:tmpl w:val="76B8F694"/>
    <w:lvl w:ilvl="0" w:tplc="49F6B3C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620C3AF4"/>
    <w:multiLevelType w:val="hybridMultilevel"/>
    <w:tmpl w:val="E8D49A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6C0600FA"/>
    <w:multiLevelType w:val="hybridMultilevel"/>
    <w:tmpl w:val="8DEC3E5A"/>
    <w:lvl w:ilvl="0" w:tplc="4EF8FB64">
      <w:start w:val="1"/>
      <w:numFmt w:val="bullet"/>
      <w:lvlText w:val=""/>
      <w:lvlJc w:val="left"/>
      <w:pPr>
        <w:ind w:left="360" w:hanging="360"/>
      </w:pPr>
      <w:rPr>
        <w:rFonts w:ascii="Symbol" w:hAnsi="Symbol" w:hint="default"/>
        <w:color w:val="4F81BD" w:themeColor="accent1"/>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6DB46163"/>
    <w:multiLevelType w:val="hybridMultilevel"/>
    <w:tmpl w:val="B51EB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6FA854BC"/>
    <w:multiLevelType w:val="multilevel"/>
    <w:tmpl w:val="E0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591BA8"/>
    <w:multiLevelType w:val="hybridMultilevel"/>
    <w:tmpl w:val="BFA0DF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B2879B0"/>
    <w:multiLevelType w:val="hybridMultilevel"/>
    <w:tmpl w:val="41CA39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8"/>
  </w:num>
  <w:num w:numId="4">
    <w:abstractNumId w:val="19"/>
  </w:num>
  <w:num w:numId="5">
    <w:abstractNumId w:val="10"/>
  </w:num>
  <w:num w:numId="6">
    <w:abstractNumId w:val="7"/>
  </w:num>
  <w:num w:numId="7">
    <w:abstractNumId w:val="16"/>
  </w:num>
  <w:num w:numId="8">
    <w:abstractNumId w:val="14"/>
  </w:num>
  <w:num w:numId="9">
    <w:abstractNumId w:val="0"/>
  </w:num>
  <w:num w:numId="10">
    <w:abstractNumId w:val="1"/>
  </w:num>
  <w:num w:numId="11">
    <w:abstractNumId w:val="4"/>
  </w:num>
  <w:num w:numId="12">
    <w:abstractNumId w:val="5"/>
  </w:num>
  <w:num w:numId="13">
    <w:abstractNumId w:val="12"/>
  </w:num>
  <w:num w:numId="14">
    <w:abstractNumId w:val="3"/>
  </w:num>
  <w:num w:numId="15">
    <w:abstractNumId w:val="11"/>
  </w:num>
  <w:num w:numId="16">
    <w:abstractNumId w:val="20"/>
  </w:num>
  <w:num w:numId="17">
    <w:abstractNumId w:val="9"/>
  </w:num>
  <w:num w:numId="18">
    <w:abstractNumId w:val="6"/>
  </w:num>
  <w:num w:numId="19">
    <w:abstractNumId w:val="17"/>
  </w:num>
  <w:num w:numId="20">
    <w:abstractNumId w:val="15"/>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91"/>
    <w:rsid w:val="000007FC"/>
    <w:rsid w:val="0000149C"/>
    <w:rsid w:val="00002C1B"/>
    <w:rsid w:val="00003744"/>
    <w:rsid w:val="00003F78"/>
    <w:rsid w:val="00004B0A"/>
    <w:rsid w:val="00005B25"/>
    <w:rsid w:val="000064FE"/>
    <w:rsid w:val="00006555"/>
    <w:rsid w:val="00010498"/>
    <w:rsid w:val="000123C4"/>
    <w:rsid w:val="0001384A"/>
    <w:rsid w:val="00013DFA"/>
    <w:rsid w:val="0001439D"/>
    <w:rsid w:val="00015D8E"/>
    <w:rsid w:val="00017968"/>
    <w:rsid w:val="00017FB4"/>
    <w:rsid w:val="00021D7F"/>
    <w:rsid w:val="00023D8A"/>
    <w:rsid w:val="000252D2"/>
    <w:rsid w:val="00034188"/>
    <w:rsid w:val="000346D7"/>
    <w:rsid w:val="00035404"/>
    <w:rsid w:val="00036089"/>
    <w:rsid w:val="0004410A"/>
    <w:rsid w:val="00051F7A"/>
    <w:rsid w:val="0005402C"/>
    <w:rsid w:val="00054250"/>
    <w:rsid w:val="00055180"/>
    <w:rsid w:val="00055AE9"/>
    <w:rsid w:val="00055D27"/>
    <w:rsid w:val="000602AA"/>
    <w:rsid w:val="0006440E"/>
    <w:rsid w:val="000657A8"/>
    <w:rsid w:val="000662E3"/>
    <w:rsid w:val="00067ACA"/>
    <w:rsid w:val="00067B8F"/>
    <w:rsid w:val="000707B3"/>
    <w:rsid w:val="000715A9"/>
    <w:rsid w:val="00071F0A"/>
    <w:rsid w:val="00073870"/>
    <w:rsid w:val="00074788"/>
    <w:rsid w:val="00076A48"/>
    <w:rsid w:val="000771A4"/>
    <w:rsid w:val="000863FA"/>
    <w:rsid w:val="00090A39"/>
    <w:rsid w:val="00090B7E"/>
    <w:rsid w:val="00090CF8"/>
    <w:rsid w:val="000927C7"/>
    <w:rsid w:val="000935F1"/>
    <w:rsid w:val="000A0FC3"/>
    <w:rsid w:val="000A1367"/>
    <w:rsid w:val="000A2084"/>
    <w:rsid w:val="000A58EB"/>
    <w:rsid w:val="000A62A9"/>
    <w:rsid w:val="000A7B66"/>
    <w:rsid w:val="000B07B0"/>
    <w:rsid w:val="000B185F"/>
    <w:rsid w:val="000B1C52"/>
    <w:rsid w:val="000B2168"/>
    <w:rsid w:val="000B7985"/>
    <w:rsid w:val="000C098C"/>
    <w:rsid w:val="000C0B04"/>
    <w:rsid w:val="000C344B"/>
    <w:rsid w:val="000C544C"/>
    <w:rsid w:val="000C6130"/>
    <w:rsid w:val="000D02E4"/>
    <w:rsid w:val="000D1377"/>
    <w:rsid w:val="000D17FB"/>
    <w:rsid w:val="000D25AC"/>
    <w:rsid w:val="000D3C58"/>
    <w:rsid w:val="000D44D4"/>
    <w:rsid w:val="000D5771"/>
    <w:rsid w:val="000D5893"/>
    <w:rsid w:val="000D7252"/>
    <w:rsid w:val="000D7A72"/>
    <w:rsid w:val="000E2E4F"/>
    <w:rsid w:val="000E6B01"/>
    <w:rsid w:val="000E7CC2"/>
    <w:rsid w:val="000F0BBD"/>
    <w:rsid w:val="000F10F8"/>
    <w:rsid w:val="000F39EF"/>
    <w:rsid w:val="000F5C0F"/>
    <w:rsid w:val="0010059E"/>
    <w:rsid w:val="0010685E"/>
    <w:rsid w:val="00107096"/>
    <w:rsid w:val="00107984"/>
    <w:rsid w:val="0011205F"/>
    <w:rsid w:val="001139A6"/>
    <w:rsid w:val="00113D4A"/>
    <w:rsid w:val="00113F3C"/>
    <w:rsid w:val="001167D9"/>
    <w:rsid w:val="0011796A"/>
    <w:rsid w:val="00117F68"/>
    <w:rsid w:val="00125838"/>
    <w:rsid w:val="00125C6A"/>
    <w:rsid w:val="001262A5"/>
    <w:rsid w:val="001317CF"/>
    <w:rsid w:val="00132082"/>
    <w:rsid w:val="00134C8C"/>
    <w:rsid w:val="00143689"/>
    <w:rsid w:val="00144F94"/>
    <w:rsid w:val="001458FE"/>
    <w:rsid w:val="001471AF"/>
    <w:rsid w:val="00150EF3"/>
    <w:rsid w:val="0015229D"/>
    <w:rsid w:val="00162FBC"/>
    <w:rsid w:val="0016375C"/>
    <w:rsid w:val="00163D48"/>
    <w:rsid w:val="001654A5"/>
    <w:rsid w:val="00170760"/>
    <w:rsid w:val="00170B46"/>
    <w:rsid w:val="00171767"/>
    <w:rsid w:val="00173764"/>
    <w:rsid w:val="0017405D"/>
    <w:rsid w:val="001748BA"/>
    <w:rsid w:val="00192DAD"/>
    <w:rsid w:val="00192F75"/>
    <w:rsid w:val="00193F19"/>
    <w:rsid w:val="00194C03"/>
    <w:rsid w:val="001A3E0D"/>
    <w:rsid w:val="001A3E96"/>
    <w:rsid w:val="001A6181"/>
    <w:rsid w:val="001C51E2"/>
    <w:rsid w:val="001C7324"/>
    <w:rsid w:val="001D0E41"/>
    <w:rsid w:val="001D153D"/>
    <w:rsid w:val="001D19F1"/>
    <w:rsid w:val="001D38B9"/>
    <w:rsid w:val="001D4CE8"/>
    <w:rsid w:val="001E42B9"/>
    <w:rsid w:val="001E6902"/>
    <w:rsid w:val="001F1C35"/>
    <w:rsid w:val="001F20B8"/>
    <w:rsid w:val="002020DB"/>
    <w:rsid w:val="00202A01"/>
    <w:rsid w:val="0020435A"/>
    <w:rsid w:val="00206047"/>
    <w:rsid w:val="002073BD"/>
    <w:rsid w:val="00207B90"/>
    <w:rsid w:val="00210158"/>
    <w:rsid w:val="0021155E"/>
    <w:rsid w:val="0022389A"/>
    <w:rsid w:val="00223F01"/>
    <w:rsid w:val="00224E88"/>
    <w:rsid w:val="00233EF5"/>
    <w:rsid w:val="002349C3"/>
    <w:rsid w:val="0023771D"/>
    <w:rsid w:val="00241E9C"/>
    <w:rsid w:val="00242077"/>
    <w:rsid w:val="00243B76"/>
    <w:rsid w:val="00243F05"/>
    <w:rsid w:val="0025100A"/>
    <w:rsid w:val="00251386"/>
    <w:rsid w:val="00251AC2"/>
    <w:rsid w:val="002534BD"/>
    <w:rsid w:val="002551A1"/>
    <w:rsid w:val="00260A01"/>
    <w:rsid w:val="00261479"/>
    <w:rsid w:val="00262274"/>
    <w:rsid w:val="00265B05"/>
    <w:rsid w:val="00266561"/>
    <w:rsid w:val="00266E0C"/>
    <w:rsid w:val="00266E1A"/>
    <w:rsid w:val="002723FC"/>
    <w:rsid w:val="0027468B"/>
    <w:rsid w:val="00282655"/>
    <w:rsid w:val="00282DAE"/>
    <w:rsid w:val="00284792"/>
    <w:rsid w:val="00287105"/>
    <w:rsid w:val="00287452"/>
    <w:rsid w:val="00291602"/>
    <w:rsid w:val="0029392F"/>
    <w:rsid w:val="00297583"/>
    <w:rsid w:val="002A2034"/>
    <w:rsid w:val="002A3232"/>
    <w:rsid w:val="002A5A93"/>
    <w:rsid w:val="002B12E6"/>
    <w:rsid w:val="002B1329"/>
    <w:rsid w:val="002B7295"/>
    <w:rsid w:val="002B7C26"/>
    <w:rsid w:val="002B7F03"/>
    <w:rsid w:val="002C0B56"/>
    <w:rsid w:val="002C0B93"/>
    <w:rsid w:val="002C0F1B"/>
    <w:rsid w:val="002C433C"/>
    <w:rsid w:val="002C4460"/>
    <w:rsid w:val="002C5187"/>
    <w:rsid w:val="002C5517"/>
    <w:rsid w:val="002D1A9D"/>
    <w:rsid w:val="002D1CBC"/>
    <w:rsid w:val="002D2C39"/>
    <w:rsid w:val="002D4D2D"/>
    <w:rsid w:val="002D61E1"/>
    <w:rsid w:val="002D7409"/>
    <w:rsid w:val="002E2D66"/>
    <w:rsid w:val="002E33A2"/>
    <w:rsid w:val="002E3609"/>
    <w:rsid w:val="002E5382"/>
    <w:rsid w:val="002E5E3C"/>
    <w:rsid w:val="002F07F4"/>
    <w:rsid w:val="002F2E6A"/>
    <w:rsid w:val="002F323D"/>
    <w:rsid w:val="002F605D"/>
    <w:rsid w:val="00300EF7"/>
    <w:rsid w:val="00305113"/>
    <w:rsid w:val="00310511"/>
    <w:rsid w:val="00310654"/>
    <w:rsid w:val="00311E5C"/>
    <w:rsid w:val="00313AD1"/>
    <w:rsid w:val="00315407"/>
    <w:rsid w:val="00315734"/>
    <w:rsid w:val="0031648A"/>
    <w:rsid w:val="0031755E"/>
    <w:rsid w:val="00321C3D"/>
    <w:rsid w:val="00323798"/>
    <w:rsid w:val="00323A55"/>
    <w:rsid w:val="00325E98"/>
    <w:rsid w:val="003268D1"/>
    <w:rsid w:val="00327AF0"/>
    <w:rsid w:val="00330694"/>
    <w:rsid w:val="00331B49"/>
    <w:rsid w:val="00331F29"/>
    <w:rsid w:val="00333A1D"/>
    <w:rsid w:val="0033460B"/>
    <w:rsid w:val="00334F92"/>
    <w:rsid w:val="0033752D"/>
    <w:rsid w:val="0034291E"/>
    <w:rsid w:val="003456F8"/>
    <w:rsid w:val="00347675"/>
    <w:rsid w:val="00347BD4"/>
    <w:rsid w:val="00347CD5"/>
    <w:rsid w:val="00350B80"/>
    <w:rsid w:val="00351462"/>
    <w:rsid w:val="00353E36"/>
    <w:rsid w:val="003554E0"/>
    <w:rsid w:val="00355DBF"/>
    <w:rsid w:val="003576FF"/>
    <w:rsid w:val="00357F80"/>
    <w:rsid w:val="0036304D"/>
    <w:rsid w:val="003631B2"/>
    <w:rsid w:val="00363764"/>
    <w:rsid w:val="0036462F"/>
    <w:rsid w:val="00367A4B"/>
    <w:rsid w:val="00372887"/>
    <w:rsid w:val="00373EDC"/>
    <w:rsid w:val="00374404"/>
    <w:rsid w:val="00375C4D"/>
    <w:rsid w:val="00380A73"/>
    <w:rsid w:val="00382F29"/>
    <w:rsid w:val="00384AF1"/>
    <w:rsid w:val="00385A79"/>
    <w:rsid w:val="00386385"/>
    <w:rsid w:val="00387555"/>
    <w:rsid w:val="0039006E"/>
    <w:rsid w:val="00391AD2"/>
    <w:rsid w:val="00393B9D"/>
    <w:rsid w:val="00394823"/>
    <w:rsid w:val="003955A0"/>
    <w:rsid w:val="003978DA"/>
    <w:rsid w:val="003A13B4"/>
    <w:rsid w:val="003A72AE"/>
    <w:rsid w:val="003B4A8D"/>
    <w:rsid w:val="003B5D7A"/>
    <w:rsid w:val="003B72C4"/>
    <w:rsid w:val="003C276B"/>
    <w:rsid w:val="003C3908"/>
    <w:rsid w:val="003C48B6"/>
    <w:rsid w:val="003C7C89"/>
    <w:rsid w:val="003D4318"/>
    <w:rsid w:val="003D66C8"/>
    <w:rsid w:val="003D6B2B"/>
    <w:rsid w:val="003E0375"/>
    <w:rsid w:val="003E4422"/>
    <w:rsid w:val="003E4FF7"/>
    <w:rsid w:val="003F1AAC"/>
    <w:rsid w:val="003F35EF"/>
    <w:rsid w:val="003F3B35"/>
    <w:rsid w:val="003F470F"/>
    <w:rsid w:val="004052B2"/>
    <w:rsid w:val="00405C0C"/>
    <w:rsid w:val="00405FC1"/>
    <w:rsid w:val="00410B6F"/>
    <w:rsid w:val="00412253"/>
    <w:rsid w:val="00415770"/>
    <w:rsid w:val="00415FC6"/>
    <w:rsid w:val="004179EB"/>
    <w:rsid w:val="00430270"/>
    <w:rsid w:val="004303BA"/>
    <w:rsid w:val="00434060"/>
    <w:rsid w:val="00436E44"/>
    <w:rsid w:val="00437173"/>
    <w:rsid w:val="0044012A"/>
    <w:rsid w:val="00441D52"/>
    <w:rsid w:val="00442312"/>
    <w:rsid w:val="004432F6"/>
    <w:rsid w:val="004446C5"/>
    <w:rsid w:val="00446F85"/>
    <w:rsid w:val="004522B4"/>
    <w:rsid w:val="00452891"/>
    <w:rsid w:val="00452900"/>
    <w:rsid w:val="00452A5B"/>
    <w:rsid w:val="00452CED"/>
    <w:rsid w:val="00453189"/>
    <w:rsid w:val="00456AC9"/>
    <w:rsid w:val="00461BFF"/>
    <w:rsid w:val="0046257E"/>
    <w:rsid w:val="004642C0"/>
    <w:rsid w:val="0046775E"/>
    <w:rsid w:val="00470D92"/>
    <w:rsid w:val="00475510"/>
    <w:rsid w:val="0047586E"/>
    <w:rsid w:val="00475D67"/>
    <w:rsid w:val="00480E9D"/>
    <w:rsid w:val="00485168"/>
    <w:rsid w:val="0048588A"/>
    <w:rsid w:val="00490397"/>
    <w:rsid w:val="00490692"/>
    <w:rsid w:val="004952D7"/>
    <w:rsid w:val="00496108"/>
    <w:rsid w:val="004A0830"/>
    <w:rsid w:val="004A0E05"/>
    <w:rsid w:val="004A11C7"/>
    <w:rsid w:val="004A18D7"/>
    <w:rsid w:val="004A1B26"/>
    <w:rsid w:val="004A5489"/>
    <w:rsid w:val="004A57B6"/>
    <w:rsid w:val="004C17CB"/>
    <w:rsid w:val="004C7929"/>
    <w:rsid w:val="004D0248"/>
    <w:rsid w:val="004D0BDF"/>
    <w:rsid w:val="004D3A0B"/>
    <w:rsid w:val="004D469E"/>
    <w:rsid w:val="004D4B67"/>
    <w:rsid w:val="004E3A57"/>
    <w:rsid w:val="004E4BBD"/>
    <w:rsid w:val="004E5018"/>
    <w:rsid w:val="004E5EFE"/>
    <w:rsid w:val="004F064A"/>
    <w:rsid w:val="004F0FD3"/>
    <w:rsid w:val="004F3FEB"/>
    <w:rsid w:val="004F6AEC"/>
    <w:rsid w:val="005014CD"/>
    <w:rsid w:val="00501793"/>
    <w:rsid w:val="00505BFD"/>
    <w:rsid w:val="00510AA1"/>
    <w:rsid w:val="00511E6F"/>
    <w:rsid w:val="005127CE"/>
    <w:rsid w:val="00512879"/>
    <w:rsid w:val="00513282"/>
    <w:rsid w:val="005204CB"/>
    <w:rsid w:val="0052211A"/>
    <w:rsid w:val="00524BCF"/>
    <w:rsid w:val="00524F37"/>
    <w:rsid w:val="00525AEA"/>
    <w:rsid w:val="00525FA8"/>
    <w:rsid w:val="005272D8"/>
    <w:rsid w:val="00530B7D"/>
    <w:rsid w:val="00531EA2"/>
    <w:rsid w:val="00532D90"/>
    <w:rsid w:val="00533D48"/>
    <w:rsid w:val="005419E9"/>
    <w:rsid w:val="00541DC9"/>
    <w:rsid w:val="00542475"/>
    <w:rsid w:val="005440CF"/>
    <w:rsid w:val="00550C9C"/>
    <w:rsid w:val="00551444"/>
    <w:rsid w:val="005516A8"/>
    <w:rsid w:val="005533C4"/>
    <w:rsid w:val="00560786"/>
    <w:rsid w:val="0056268F"/>
    <w:rsid w:val="00565C3C"/>
    <w:rsid w:val="00566974"/>
    <w:rsid w:val="00567623"/>
    <w:rsid w:val="0057085B"/>
    <w:rsid w:val="00570C6B"/>
    <w:rsid w:val="00572DF6"/>
    <w:rsid w:val="00573388"/>
    <w:rsid w:val="00573AB6"/>
    <w:rsid w:val="00573D6B"/>
    <w:rsid w:val="00577D77"/>
    <w:rsid w:val="00580725"/>
    <w:rsid w:val="00586657"/>
    <w:rsid w:val="00586FDE"/>
    <w:rsid w:val="00587C9B"/>
    <w:rsid w:val="00587F5D"/>
    <w:rsid w:val="00590E5A"/>
    <w:rsid w:val="005940D1"/>
    <w:rsid w:val="00594E34"/>
    <w:rsid w:val="00596B3D"/>
    <w:rsid w:val="005A2279"/>
    <w:rsid w:val="005A2BB7"/>
    <w:rsid w:val="005A3A8D"/>
    <w:rsid w:val="005A4ADA"/>
    <w:rsid w:val="005A6F2F"/>
    <w:rsid w:val="005B283E"/>
    <w:rsid w:val="005B3A18"/>
    <w:rsid w:val="005B41AA"/>
    <w:rsid w:val="005B4F61"/>
    <w:rsid w:val="005B57EF"/>
    <w:rsid w:val="005C5968"/>
    <w:rsid w:val="005C7707"/>
    <w:rsid w:val="005D133C"/>
    <w:rsid w:val="005D33D4"/>
    <w:rsid w:val="005D5CF2"/>
    <w:rsid w:val="005D7FCA"/>
    <w:rsid w:val="005E1232"/>
    <w:rsid w:val="005E37DA"/>
    <w:rsid w:val="005E485F"/>
    <w:rsid w:val="005F3758"/>
    <w:rsid w:val="005F71F9"/>
    <w:rsid w:val="006002AA"/>
    <w:rsid w:val="00611C67"/>
    <w:rsid w:val="00614076"/>
    <w:rsid w:val="00614E5A"/>
    <w:rsid w:val="00616235"/>
    <w:rsid w:val="00620244"/>
    <w:rsid w:val="00620B8A"/>
    <w:rsid w:val="0062275E"/>
    <w:rsid w:val="0062554E"/>
    <w:rsid w:val="00630230"/>
    <w:rsid w:val="00631233"/>
    <w:rsid w:val="0063197E"/>
    <w:rsid w:val="00636EB6"/>
    <w:rsid w:val="00640B8B"/>
    <w:rsid w:val="00643E28"/>
    <w:rsid w:val="00645153"/>
    <w:rsid w:val="006455B8"/>
    <w:rsid w:val="00646223"/>
    <w:rsid w:val="00647993"/>
    <w:rsid w:val="00650304"/>
    <w:rsid w:val="006529FA"/>
    <w:rsid w:val="006535F8"/>
    <w:rsid w:val="00653B45"/>
    <w:rsid w:val="00657376"/>
    <w:rsid w:val="00663B7B"/>
    <w:rsid w:val="006640FF"/>
    <w:rsid w:val="00667145"/>
    <w:rsid w:val="006673BB"/>
    <w:rsid w:val="006707F5"/>
    <w:rsid w:val="00670AD9"/>
    <w:rsid w:val="006713C2"/>
    <w:rsid w:val="00671713"/>
    <w:rsid w:val="00673AE4"/>
    <w:rsid w:val="0067402D"/>
    <w:rsid w:val="00675E56"/>
    <w:rsid w:val="0067632C"/>
    <w:rsid w:val="00677934"/>
    <w:rsid w:val="00677A85"/>
    <w:rsid w:val="006805A5"/>
    <w:rsid w:val="00680B51"/>
    <w:rsid w:val="006821E3"/>
    <w:rsid w:val="00685DB6"/>
    <w:rsid w:val="00693518"/>
    <w:rsid w:val="00694C51"/>
    <w:rsid w:val="006955E7"/>
    <w:rsid w:val="00695FCF"/>
    <w:rsid w:val="00696965"/>
    <w:rsid w:val="00696DDA"/>
    <w:rsid w:val="006970D5"/>
    <w:rsid w:val="006A135C"/>
    <w:rsid w:val="006A4CFB"/>
    <w:rsid w:val="006A71A2"/>
    <w:rsid w:val="006B0DD2"/>
    <w:rsid w:val="006B2505"/>
    <w:rsid w:val="006B4075"/>
    <w:rsid w:val="006B5E7A"/>
    <w:rsid w:val="006B6956"/>
    <w:rsid w:val="006C09E3"/>
    <w:rsid w:val="006C3B4B"/>
    <w:rsid w:val="006C41FF"/>
    <w:rsid w:val="006C4E62"/>
    <w:rsid w:val="006C58B7"/>
    <w:rsid w:val="006D30E8"/>
    <w:rsid w:val="006D502F"/>
    <w:rsid w:val="006D5067"/>
    <w:rsid w:val="006D5713"/>
    <w:rsid w:val="006E1EA3"/>
    <w:rsid w:val="006E265E"/>
    <w:rsid w:val="006E27FD"/>
    <w:rsid w:val="006E4DAD"/>
    <w:rsid w:val="006E6CC2"/>
    <w:rsid w:val="006F5C05"/>
    <w:rsid w:val="006F5E1D"/>
    <w:rsid w:val="006F6ADA"/>
    <w:rsid w:val="006F707F"/>
    <w:rsid w:val="0070382E"/>
    <w:rsid w:val="0070621C"/>
    <w:rsid w:val="00706682"/>
    <w:rsid w:val="00707993"/>
    <w:rsid w:val="0071123A"/>
    <w:rsid w:val="00711E25"/>
    <w:rsid w:val="007138CC"/>
    <w:rsid w:val="0071439B"/>
    <w:rsid w:val="0072122E"/>
    <w:rsid w:val="00723B85"/>
    <w:rsid w:val="007257B8"/>
    <w:rsid w:val="00727A83"/>
    <w:rsid w:val="00730A03"/>
    <w:rsid w:val="0073174A"/>
    <w:rsid w:val="007333BE"/>
    <w:rsid w:val="007335A8"/>
    <w:rsid w:val="00735079"/>
    <w:rsid w:val="0073593C"/>
    <w:rsid w:val="00737013"/>
    <w:rsid w:val="0073764E"/>
    <w:rsid w:val="00737DDD"/>
    <w:rsid w:val="0075099D"/>
    <w:rsid w:val="00752052"/>
    <w:rsid w:val="00754EA3"/>
    <w:rsid w:val="00756B84"/>
    <w:rsid w:val="00757A75"/>
    <w:rsid w:val="00760136"/>
    <w:rsid w:val="00760496"/>
    <w:rsid w:val="0076053B"/>
    <w:rsid w:val="00763FB0"/>
    <w:rsid w:val="007644E5"/>
    <w:rsid w:val="00765150"/>
    <w:rsid w:val="00770D2D"/>
    <w:rsid w:val="00772C0B"/>
    <w:rsid w:val="007738D0"/>
    <w:rsid w:val="00773EC0"/>
    <w:rsid w:val="00774E33"/>
    <w:rsid w:val="0077567A"/>
    <w:rsid w:val="00775DA1"/>
    <w:rsid w:val="00777690"/>
    <w:rsid w:val="00780533"/>
    <w:rsid w:val="00782A37"/>
    <w:rsid w:val="00783A0B"/>
    <w:rsid w:val="0078737D"/>
    <w:rsid w:val="00790464"/>
    <w:rsid w:val="007939B6"/>
    <w:rsid w:val="007964C7"/>
    <w:rsid w:val="007A35B4"/>
    <w:rsid w:val="007A4846"/>
    <w:rsid w:val="007A4969"/>
    <w:rsid w:val="007A66DF"/>
    <w:rsid w:val="007A6D9A"/>
    <w:rsid w:val="007A7C15"/>
    <w:rsid w:val="007B01D2"/>
    <w:rsid w:val="007B05F7"/>
    <w:rsid w:val="007B1924"/>
    <w:rsid w:val="007B199A"/>
    <w:rsid w:val="007B1BA6"/>
    <w:rsid w:val="007B48F8"/>
    <w:rsid w:val="007B51E6"/>
    <w:rsid w:val="007B55B5"/>
    <w:rsid w:val="007B5624"/>
    <w:rsid w:val="007C3D92"/>
    <w:rsid w:val="007C5420"/>
    <w:rsid w:val="007D1008"/>
    <w:rsid w:val="007D1B67"/>
    <w:rsid w:val="007D2672"/>
    <w:rsid w:val="007D4B6B"/>
    <w:rsid w:val="007D62DC"/>
    <w:rsid w:val="007D7930"/>
    <w:rsid w:val="007D7CCF"/>
    <w:rsid w:val="007E0965"/>
    <w:rsid w:val="007E728E"/>
    <w:rsid w:val="007E784C"/>
    <w:rsid w:val="007F130A"/>
    <w:rsid w:val="007F3D4F"/>
    <w:rsid w:val="007F46C8"/>
    <w:rsid w:val="007F5D18"/>
    <w:rsid w:val="00801420"/>
    <w:rsid w:val="00802069"/>
    <w:rsid w:val="008025DC"/>
    <w:rsid w:val="00802652"/>
    <w:rsid w:val="00803C62"/>
    <w:rsid w:val="00806EC8"/>
    <w:rsid w:val="00814CE9"/>
    <w:rsid w:val="00815D73"/>
    <w:rsid w:val="008176D9"/>
    <w:rsid w:val="00820BE1"/>
    <w:rsid w:val="00825BCB"/>
    <w:rsid w:val="0082609D"/>
    <w:rsid w:val="008270A6"/>
    <w:rsid w:val="00827BB7"/>
    <w:rsid w:val="00831988"/>
    <w:rsid w:val="00832233"/>
    <w:rsid w:val="00832BDC"/>
    <w:rsid w:val="008335D7"/>
    <w:rsid w:val="0083364D"/>
    <w:rsid w:val="008340F1"/>
    <w:rsid w:val="00834A4A"/>
    <w:rsid w:val="0083539A"/>
    <w:rsid w:val="0083564F"/>
    <w:rsid w:val="008356C6"/>
    <w:rsid w:val="0083673F"/>
    <w:rsid w:val="00837B9C"/>
    <w:rsid w:val="008409F8"/>
    <w:rsid w:val="00844028"/>
    <w:rsid w:val="0084493B"/>
    <w:rsid w:val="00844F82"/>
    <w:rsid w:val="00845D51"/>
    <w:rsid w:val="008469EE"/>
    <w:rsid w:val="008513F9"/>
    <w:rsid w:val="008521CA"/>
    <w:rsid w:val="008566B3"/>
    <w:rsid w:val="00856765"/>
    <w:rsid w:val="0085760A"/>
    <w:rsid w:val="00862746"/>
    <w:rsid w:val="008638C5"/>
    <w:rsid w:val="00864335"/>
    <w:rsid w:val="00867AEB"/>
    <w:rsid w:val="008775A4"/>
    <w:rsid w:val="00881122"/>
    <w:rsid w:val="00881AF4"/>
    <w:rsid w:val="008834FE"/>
    <w:rsid w:val="00883BC1"/>
    <w:rsid w:val="00884AE7"/>
    <w:rsid w:val="00886263"/>
    <w:rsid w:val="00890070"/>
    <w:rsid w:val="00890405"/>
    <w:rsid w:val="008920DC"/>
    <w:rsid w:val="008927EE"/>
    <w:rsid w:val="008956D1"/>
    <w:rsid w:val="008957EF"/>
    <w:rsid w:val="00895BB6"/>
    <w:rsid w:val="008972B2"/>
    <w:rsid w:val="008976A1"/>
    <w:rsid w:val="008A0E25"/>
    <w:rsid w:val="008A1766"/>
    <w:rsid w:val="008B2BA7"/>
    <w:rsid w:val="008B3494"/>
    <w:rsid w:val="008B5FC3"/>
    <w:rsid w:val="008B7022"/>
    <w:rsid w:val="008C0A82"/>
    <w:rsid w:val="008C4980"/>
    <w:rsid w:val="008C5798"/>
    <w:rsid w:val="008D2BDD"/>
    <w:rsid w:val="008D33F8"/>
    <w:rsid w:val="008D4BC6"/>
    <w:rsid w:val="008E190A"/>
    <w:rsid w:val="008E4AD4"/>
    <w:rsid w:val="008F1906"/>
    <w:rsid w:val="008F2550"/>
    <w:rsid w:val="008F2E54"/>
    <w:rsid w:val="008F43E5"/>
    <w:rsid w:val="008F5A3B"/>
    <w:rsid w:val="008F6975"/>
    <w:rsid w:val="008F72C4"/>
    <w:rsid w:val="00900A5F"/>
    <w:rsid w:val="00902108"/>
    <w:rsid w:val="00902865"/>
    <w:rsid w:val="009030D3"/>
    <w:rsid w:val="00906DD1"/>
    <w:rsid w:val="009171F5"/>
    <w:rsid w:val="00917BA0"/>
    <w:rsid w:val="00917D94"/>
    <w:rsid w:val="00920E58"/>
    <w:rsid w:val="00921057"/>
    <w:rsid w:val="00921E42"/>
    <w:rsid w:val="009221E2"/>
    <w:rsid w:val="00924122"/>
    <w:rsid w:val="009241E0"/>
    <w:rsid w:val="00927D6F"/>
    <w:rsid w:val="00930CCE"/>
    <w:rsid w:val="00931A17"/>
    <w:rsid w:val="009353AC"/>
    <w:rsid w:val="009360C0"/>
    <w:rsid w:val="0093653B"/>
    <w:rsid w:val="00936FF7"/>
    <w:rsid w:val="00937550"/>
    <w:rsid w:val="0094028A"/>
    <w:rsid w:val="0094183B"/>
    <w:rsid w:val="00947084"/>
    <w:rsid w:val="00947FBD"/>
    <w:rsid w:val="00955403"/>
    <w:rsid w:val="00957526"/>
    <w:rsid w:val="00957C85"/>
    <w:rsid w:val="00957D24"/>
    <w:rsid w:val="009630B4"/>
    <w:rsid w:val="009650B3"/>
    <w:rsid w:val="00965964"/>
    <w:rsid w:val="0097162D"/>
    <w:rsid w:val="009722DB"/>
    <w:rsid w:val="0097272E"/>
    <w:rsid w:val="00973B94"/>
    <w:rsid w:val="00976F80"/>
    <w:rsid w:val="009805F2"/>
    <w:rsid w:val="00982328"/>
    <w:rsid w:val="00984C33"/>
    <w:rsid w:val="00986052"/>
    <w:rsid w:val="00987C74"/>
    <w:rsid w:val="00994D71"/>
    <w:rsid w:val="00996C28"/>
    <w:rsid w:val="00996FA7"/>
    <w:rsid w:val="009A2DA3"/>
    <w:rsid w:val="009A3ADF"/>
    <w:rsid w:val="009A662A"/>
    <w:rsid w:val="009A6C03"/>
    <w:rsid w:val="009A7F2E"/>
    <w:rsid w:val="009B0C1D"/>
    <w:rsid w:val="009B2E68"/>
    <w:rsid w:val="009C1A22"/>
    <w:rsid w:val="009C2C3C"/>
    <w:rsid w:val="009C60D3"/>
    <w:rsid w:val="009C7037"/>
    <w:rsid w:val="009C7943"/>
    <w:rsid w:val="009D1A5C"/>
    <w:rsid w:val="009D2EAC"/>
    <w:rsid w:val="009D4F4F"/>
    <w:rsid w:val="009D6E1C"/>
    <w:rsid w:val="009D7945"/>
    <w:rsid w:val="009E30A5"/>
    <w:rsid w:val="009E3CEE"/>
    <w:rsid w:val="009E3EAC"/>
    <w:rsid w:val="009E4342"/>
    <w:rsid w:val="009F03B6"/>
    <w:rsid w:val="009F0432"/>
    <w:rsid w:val="009F2842"/>
    <w:rsid w:val="009F2CAA"/>
    <w:rsid w:val="009F691A"/>
    <w:rsid w:val="00A04E54"/>
    <w:rsid w:val="00A061EB"/>
    <w:rsid w:val="00A0698F"/>
    <w:rsid w:val="00A12E53"/>
    <w:rsid w:val="00A13DFC"/>
    <w:rsid w:val="00A16B16"/>
    <w:rsid w:val="00A23E03"/>
    <w:rsid w:val="00A269CF"/>
    <w:rsid w:val="00A31210"/>
    <w:rsid w:val="00A364A1"/>
    <w:rsid w:val="00A36649"/>
    <w:rsid w:val="00A36D32"/>
    <w:rsid w:val="00A36E5F"/>
    <w:rsid w:val="00A401BC"/>
    <w:rsid w:val="00A40F25"/>
    <w:rsid w:val="00A423A7"/>
    <w:rsid w:val="00A44F7D"/>
    <w:rsid w:val="00A63606"/>
    <w:rsid w:val="00A650B3"/>
    <w:rsid w:val="00A65B9D"/>
    <w:rsid w:val="00A66062"/>
    <w:rsid w:val="00A66317"/>
    <w:rsid w:val="00A66E9E"/>
    <w:rsid w:val="00A710F1"/>
    <w:rsid w:val="00A71D3F"/>
    <w:rsid w:val="00A71FF1"/>
    <w:rsid w:val="00A7213D"/>
    <w:rsid w:val="00A76386"/>
    <w:rsid w:val="00A7781C"/>
    <w:rsid w:val="00A84F3D"/>
    <w:rsid w:val="00A86DA7"/>
    <w:rsid w:val="00A91E49"/>
    <w:rsid w:val="00A9205A"/>
    <w:rsid w:val="00AA2A57"/>
    <w:rsid w:val="00AA5738"/>
    <w:rsid w:val="00AB0FBF"/>
    <w:rsid w:val="00AB5A9E"/>
    <w:rsid w:val="00AC0C82"/>
    <w:rsid w:val="00AC18D7"/>
    <w:rsid w:val="00AC2611"/>
    <w:rsid w:val="00AC2E6A"/>
    <w:rsid w:val="00AD05A6"/>
    <w:rsid w:val="00AD436F"/>
    <w:rsid w:val="00AE0F77"/>
    <w:rsid w:val="00AE1EFF"/>
    <w:rsid w:val="00AE4C5E"/>
    <w:rsid w:val="00AE52B8"/>
    <w:rsid w:val="00AE7BCB"/>
    <w:rsid w:val="00AE7C72"/>
    <w:rsid w:val="00AF0726"/>
    <w:rsid w:val="00AF24B2"/>
    <w:rsid w:val="00AF529C"/>
    <w:rsid w:val="00AF5345"/>
    <w:rsid w:val="00AF5B03"/>
    <w:rsid w:val="00AF5EB2"/>
    <w:rsid w:val="00AF60B7"/>
    <w:rsid w:val="00B03791"/>
    <w:rsid w:val="00B047F1"/>
    <w:rsid w:val="00B051CC"/>
    <w:rsid w:val="00B17FF8"/>
    <w:rsid w:val="00B20DA5"/>
    <w:rsid w:val="00B22D3D"/>
    <w:rsid w:val="00B235F7"/>
    <w:rsid w:val="00B242B8"/>
    <w:rsid w:val="00B24831"/>
    <w:rsid w:val="00B265A5"/>
    <w:rsid w:val="00B30840"/>
    <w:rsid w:val="00B30A72"/>
    <w:rsid w:val="00B30CF7"/>
    <w:rsid w:val="00B30F3E"/>
    <w:rsid w:val="00B3280B"/>
    <w:rsid w:val="00B34570"/>
    <w:rsid w:val="00B365C9"/>
    <w:rsid w:val="00B43BAA"/>
    <w:rsid w:val="00B46F5D"/>
    <w:rsid w:val="00B510D1"/>
    <w:rsid w:val="00B516F4"/>
    <w:rsid w:val="00B53695"/>
    <w:rsid w:val="00B56122"/>
    <w:rsid w:val="00B6021A"/>
    <w:rsid w:val="00B61CD8"/>
    <w:rsid w:val="00B61DDE"/>
    <w:rsid w:val="00B63F07"/>
    <w:rsid w:val="00B64FD7"/>
    <w:rsid w:val="00B65FD9"/>
    <w:rsid w:val="00B6634F"/>
    <w:rsid w:val="00B67FDC"/>
    <w:rsid w:val="00B708CF"/>
    <w:rsid w:val="00B71781"/>
    <w:rsid w:val="00B7222E"/>
    <w:rsid w:val="00B7336C"/>
    <w:rsid w:val="00B7548C"/>
    <w:rsid w:val="00B76C6A"/>
    <w:rsid w:val="00B77794"/>
    <w:rsid w:val="00B80677"/>
    <w:rsid w:val="00B82437"/>
    <w:rsid w:val="00B829A8"/>
    <w:rsid w:val="00B829B3"/>
    <w:rsid w:val="00B83749"/>
    <w:rsid w:val="00B860F7"/>
    <w:rsid w:val="00B86579"/>
    <w:rsid w:val="00B87617"/>
    <w:rsid w:val="00B912EC"/>
    <w:rsid w:val="00B9203C"/>
    <w:rsid w:val="00B92684"/>
    <w:rsid w:val="00B93167"/>
    <w:rsid w:val="00B95065"/>
    <w:rsid w:val="00B96E93"/>
    <w:rsid w:val="00B971AE"/>
    <w:rsid w:val="00B97AE8"/>
    <w:rsid w:val="00BA2289"/>
    <w:rsid w:val="00BA3745"/>
    <w:rsid w:val="00BB01C4"/>
    <w:rsid w:val="00BB1DDF"/>
    <w:rsid w:val="00BB1F05"/>
    <w:rsid w:val="00BB4665"/>
    <w:rsid w:val="00BB4A4E"/>
    <w:rsid w:val="00BC1CC8"/>
    <w:rsid w:val="00BC2D7C"/>
    <w:rsid w:val="00BD3529"/>
    <w:rsid w:val="00BE134F"/>
    <w:rsid w:val="00BE3538"/>
    <w:rsid w:val="00BE4EA8"/>
    <w:rsid w:val="00BE56ED"/>
    <w:rsid w:val="00BE77A5"/>
    <w:rsid w:val="00BF158F"/>
    <w:rsid w:val="00BF5106"/>
    <w:rsid w:val="00BF583E"/>
    <w:rsid w:val="00BF5D19"/>
    <w:rsid w:val="00BF5DF9"/>
    <w:rsid w:val="00C0043D"/>
    <w:rsid w:val="00C032E9"/>
    <w:rsid w:val="00C04E50"/>
    <w:rsid w:val="00C053AA"/>
    <w:rsid w:val="00C05572"/>
    <w:rsid w:val="00C10CA2"/>
    <w:rsid w:val="00C1154C"/>
    <w:rsid w:val="00C11CA8"/>
    <w:rsid w:val="00C17B97"/>
    <w:rsid w:val="00C20338"/>
    <w:rsid w:val="00C2114D"/>
    <w:rsid w:val="00C24B34"/>
    <w:rsid w:val="00C276B1"/>
    <w:rsid w:val="00C343BD"/>
    <w:rsid w:val="00C3561A"/>
    <w:rsid w:val="00C36730"/>
    <w:rsid w:val="00C374D4"/>
    <w:rsid w:val="00C4141D"/>
    <w:rsid w:val="00C45AAA"/>
    <w:rsid w:val="00C46721"/>
    <w:rsid w:val="00C46EC8"/>
    <w:rsid w:val="00C52FF7"/>
    <w:rsid w:val="00C536FD"/>
    <w:rsid w:val="00C546FF"/>
    <w:rsid w:val="00C54B84"/>
    <w:rsid w:val="00C54C86"/>
    <w:rsid w:val="00C56178"/>
    <w:rsid w:val="00C56687"/>
    <w:rsid w:val="00C577A9"/>
    <w:rsid w:val="00C674B4"/>
    <w:rsid w:val="00C717FC"/>
    <w:rsid w:val="00C72455"/>
    <w:rsid w:val="00C74392"/>
    <w:rsid w:val="00C74422"/>
    <w:rsid w:val="00C75948"/>
    <w:rsid w:val="00C76D3F"/>
    <w:rsid w:val="00C8337E"/>
    <w:rsid w:val="00C83CDE"/>
    <w:rsid w:val="00C85EEF"/>
    <w:rsid w:val="00C8624C"/>
    <w:rsid w:val="00C92B2B"/>
    <w:rsid w:val="00C93F32"/>
    <w:rsid w:val="00C94775"/>
    <w:rsid w:val="00C947A9"/>
    <w:rsid w:val="00C94D3F"/>
    <w:rsid w:val="00C95D73"/>
    <w:rsid w:val="00C96A92"/>
    <w:rsid w:val="00C97A89"/>
    <w:rsid w:val="00CA492E"/>
    <w:rsid w:val="00CA4C09"/>
    <w:rsid w:val="00CA4FA9"/>
    <w:rsid w:val="00CA6DEF"/>
    <w:rsid w:val="00CA74CA"/>
    <w:rsid w:val="00CB09A1"/>
    <w:rsid w:val="00CB146D"/>
    <w:rsid w:val="00CB3F35"/>
    <w:rsid w:val="00CB4D1B"/>
    <w:rsid w:val="00CB79A7"/>
    <w:rsid w:val="00CC1780"/>
    <w:rsid w:val="00CC4A07"/>
    <w:rsid w:val="00CC4E9E"/>
    <w:rsid w:val="00CC4F1D"/>
    <w:rsid w:val="00CC7BDF"/>
    <w:rsid w:val="00CD4895"/>
    <w:rsid w:val="00CD671E"/>
    <w:rsid w:val="00CD6B90"/>
    <w:rsid w:val="00CD6DFA"/>
    <w:rsid w:val="00CD7ACC"/>
    <w:rsid w:val="00CE1E5E"/>
    <w:rsid w:val="00CE202C"/>
    <w:rsid w:val="00CE5CEA"/>
    <w:rsid w:val="00CE688C"/>
    <w:rsid w:val="00CE6911"/>
    <w:rsid w:val="00CF1C62"/>
    <w:rsid w:val="00CF540D"/>
    <w:rsid w:val="00CF6E6C"/>
    <w:rsid w:val="00CF7D0F"/>
    <w:rsid w:val="00D0086F"/>
    <w:rsid w:val="00D01B22"/>
    <w:rsid w:val="00D02682"/>
    <w:rsid w:val="00D03E15"/>
    <w:rsid w:val="00D06F63"/>
    <w:rsid w:val="00D07DF0"/>
    <w:rsid w:val="00D13147"/>
    <w:rsid w:val="00D14818"/>
    <w:rsid w:val="00D15111"/>
    <w:rsid w:val="00D167ED"/>
    <w:rsid w:val="00D20341"/>
    <w:rsid w:val="00D21751"/>
    <w:rsid w:val="00D21F6E"/>
    <w:rsid w:val="00D22CFE"/>
    <w:rsid w:val="00D23A72"/>
    <w:rsid w:val="00D23AB2"/>
    <w:rsid w:val="00D2652D"/>
    <w:rsid w:val="00D27104"/>
    <w:rsid w:val="00D301D2"/>
    <w:rsid w:val="00D30CEF"/>
    <w:rsid w:val="00D31C1B"/>
    <w:rsid w:val="00D33A1A"/>
    <w:rsid w:val="00D353A8"/>
    <w:rsid w:val="00D40E17"/>
    <w:rsid w:val="00D42242"/>
    <w:rsid w:val="00D45208"/>
    <w:rsid w:val="00D45568"/>
    <w:rsid w:val="00D51C6E"/>
    <w:rsid w:val="00D53CE2"/>
    <w:rsid w:val="00D543F3"/>
    <w:rsid w:val="00D609E5"/>
    <w:rsid w:val="00D636FC"/>
    <w:rsid w:val="00D651BC"/>
    <w:rsid w:val="00D66971"/>
    <w:rsid w:val="00D708B7"/>
    <w:rsid w:val="00D755A7"/>
    <w:rsid w:val="00D77B37"/>
    <w:rsid w:val="00D80173"/>
    <w:rsid w:val="00D81D4D"/>
    <w:rsid w:val="00D823A9"/>
    <w:rsid w:val="00D83FB6"/>
    <w:rsid w:val="00D90217"/>
    <w:rsid w:val="00D91F7D"/>
    <w:rsid w:val="00D95224"/>
    <w:rsid w:val="00D95989"/>
    <w:rsid w:val="00D96C89"/>
    <w:rsid w:val="00D97320"/>
    <w:rsid w:val="00DA52E8"/>
    <w:rsid w:val="00DA6836"/>
    <w:rsid w:val="00DC2A0C"/>
    <w:rsid w:val="00DC54A4"/>
    <w:rsid w:val="00DD2C65"/>
    <w:rsid w:val="00DD491D"/>
    <w:rsid w:val="00DD593A"/>
    <w:rsid w:val="00DD7BB6"/>
    <w:rsid w:val="00DE1FE9"/>
    <w:rsid w:val="00DE5012"/>
    <w:rsid w:val="00DE591C"/>
    <w:rsid w:val="00DE68E0"/>
    <w:rsid w:val="00DE6AEA"/>
    <w:rsid w:val="00DF20F8"/>
    <w:rsid w:val="00DF274C"/>
    <w:rsid w:val="00DF2811"/>
    <w:rsid w:val="00DF3C21"/>
    <w:rsid w:val="00DF6487"/>
    <w:rsid w:val="00E00E5A"/>
    <w:rsid w:val="00E0203D"/>
    <w:rsid w:val="00E06001"/>
    <w:rsid w:val="00E102BB"/>
    <w:rsid w:val="00E126E0"/>
    <w:rsid w:val="00E1655E"/>
    <w:rsid w:val="00E17D68"/>
    <w:rsid w:val="00E21DED"/>
    <w:rsid w:val="00E22F11"/>
    <w:rsid w:val="00E25FA6"/>
    <w:rsid w:val="00E263F2"/>
    <w:rsid w:val="00E27E4C"/>
    <w:rsid w:val="00E301EE"/>
    <w:rsid w:val="00E34AAD"/>
    <w:rsid w:val="00E36BE2"/>
    <w:rsid w:val="00E3755B"/>
    <w:rsid w:val="00E37CC9"/>
    <w:rsid w:val="00E42270"/>
    <w:rsid w:val="00E43930"/>
    <w:rsid w:val="00E44E3C"/>
    <w:rsid w:val="00E45CD7"/>
    <w:rsid w:val="00E46DBD"/>
    <w:rsid w:val="00E4759B"/>
    <w:rsid w:val="00E52BE0"/>
    <w:rsid w:val="00E544CF"/>
    <w:rsid w:val="00E5485A"/>
    <w:rsid w:val="00E568E1"/>
    <w:rsid w:val="00E574FC"/>
    <w:rsid w:val="00E60695"/>
    <w:rsid w:val="00E61043"/>
    <w:rsid w:val="00E61CF3"/>
    <w:rsid w:val="00E61E4D"/>
    <w:rsid w:val="00E6515F"/>
    <w:rsid w:val="00E65AAE"/>
    <w:rsid w:val="00E65BF2"/>
    <w:rsid w:val="00E73406"/>
    <w:rsid w:val="00E75B91"/>
    <w:rsid w:val="00E7625C"/>
    <w:rsid w:val="00E76BC5"/>
    <w:rsid w:val="00E7781F"/>
    <w:rsid w:val="00E824FD"/>
    <w:rsid w:val="00E83879"/>
    <w:rsid w:val="00E8596C"/>
    <w:rsid w:val="00E865C0"/>
    <w:rsid w:val="00E900AF"/>
    <w:rsid w:val="00E94FC2"/>
    <w:rsid w:val="00E95C92"/>
    <w:rsid w:val="00E97CC8"/>
    <w:rsid w:val="00EA3C71"/>
    <w:rsid w:val="00EA5DD7"/>
    <w:rsid w:val="00EB0134"/>
    <w:rsid w:val="00EB14C9"/>
    <w:rsid w:val="00EB1D29"/>
    <w:rsid w:val="00EB20D1"/>
    <w:rsid w:val="00EB2C5F"/>
    <w:rsid w:val="00EB2CB1"/>
    <w:rsid w:val="00EB33E2"/>
    <w:rsid w:val="00EB5AFB"/>
    <w:rsid w:val="00EB7589"/>
    <w:rsid w:val="00EC1E91"/>
    <w:rsid w:val="00EC3A18"/>
    <w:rsid w:val="00EC5217"/>
    <w:rsid w:val="00EC55CB"/>
    <w:rsid w:val="00EC5C09"/>
    <w:rsid w:val="00ED073D"/>
    <w:rsid w:val="00ED0CFD"/>
    <w:rsid w:val="00ED0ED7"/>
    <w:rsid w:val="00ED26C2"/>
    <w:rsid w:val="00EE622A"/>
    <w:rsid w:val="00EE6DB9"/>
    <w:rsid w:val="00EF462D"/>
    <w:rsid w:val="00EF4908"/>
    <w:rsid w:val="00EF5B96"/>
    <w:rsid w:val="00EF67C4"/>
    <w:rsid w:val="00F00618"/>
    <w:rsid w:val="00F01ED5"/>
    <w:rsid w:val="00F1028E"/>
    <w:rsid w:val="00F11576"/>
    <w:rsid w:val="00F115AA"/>
    <w:rsid w:val="00F117D2"/>
    <w:rsid w:val="00F12BB1"/>
    <w:rsid w:val="00F12BCE"/>
    <w:rsid w:val="00F16B41"/>
    <w:rsid w:val="00F17700"/>
    <w:rsid w:val="00F214DB"/>
    <w:rsid w:val="00F2429D"/>
    <w:rsid w:val="00F24571"/>
    <w:rsid w:val="00F245C8"/>
    <w:rsid w:val="00F275D7"/>
    <w:rsid w:val="00F320EE"/>
    <w:rsid w:val="00F33B5B"/>
    <w:rsid w:val="00F36DEA"/>
    <w:rsid w:val="00F400FA"/>
    <w:rsid w:val="00F4050E"/>
    <w:rsid w:val="00F4071A"/>
    <w:rsid w:val="00F416C6"/>
    <w:rsid w:val="00F4217C"/>
    <w:rsid w:val="00F4406F"/>
    <w:rsid w:val="00F46D61"/>
    <w:rsid w:val="00F61E47"/>
    <w:rsid w:val="00F61E7A"/>
    <w:rsid w:val="00F6436F"/>
    <w:rsid w:val="00F6596E"/>
    <w:rsid w:val="00F6679F"/>
    <w:rsid w:val="00F67CAA"/>
    <w:rsid w:val="00F72F47"/>
    <w:rsid w:val="00F82796"/>
    <w:rsid w:val="00F83A61"/>
    <w:rsid w:val="00F86243"/>
    <w:rsid w:val="00F87942"/>
    <w:rsid w:val="00F9162E"/>
    <w:rsid w:val="00F948AD"/>
    <w:rsid w:val="00F97E31"/>
    <w:rsid w:val="00FA028D"/>
    <w:rsid w:val="00FA1D06"/>
    <w:rsid w:val="00FA4086"/>
    <w:rsid w:val="00FA68F1"/>
    <w:rsid w:val="00FA6B98"/>
    <w:rsid w:val="00FA6CD2"/>
    <w:rsid w:val="00FB028A"/>
    <w:rsid w:val="00FB3E48"/>
    <w:rsid w:val="00FB41F7"/>
    <w:rsid w:val="00FC01D2"/>
    <w:rsid w:val="00FC094C"/>
    <w:rsid w:val="00FC183E"/>
    <w:rsid w:val="00FC3BAE"/>
    <w:rsid w:val="00FC4E8E"/>
    <w:rsid w:val="00FC6102"/>
    <w:rsid w:val="00FC7166"/>
    <w:rsid w:val="00FD06B6"/>
    <w:rsid w:val="00FD1399"/>
    <w:rsid w:val="00FD146A"/>
    <w:rsid w:val="00FD1DDA"/>
    <w:rsid w:val="00FD47E8"/>
    <w:rsid w:val="00FD4B4C"/>
    <w:rsid w:val="00FD710E"/>
    <w:rsid w:val="00FE09E6"/>
    <w:rsid w:val="00FE277E"/>
    <w:rsid w:val="00FE38BE"/>
    <w:rsid w:val="00FE63F6"/>
    <w:rsid w:val="00FE7C89"/>
    <w:rsid w:val="00FF4296"/>
    <w:rsid w:val="00FF4DD0"/>
    <w:rsid w:val="00FF59C8"/>
    <w:rsid w:val="00FF6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rsid w:val="0062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83539A"/>
    <w:pPr>
      <w:spacing w:after="0" w:line="36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4303BA"/>
    <w:rPr>
      <w:color w:val="800080" w:themeColor="followedHyperlink"/>
      <w:u w:val="single"/>
    </w:rPr>
  </w:style>
  <w:style w:type="character" w:styleId="Rimandonotaapidipagina">
    <w:name w:val="footnote reference"/>
    <w:uiPriority w:val="99"/>
    <w:semiHidden/>
    <w:rsid w:val="008F43E5"/>
    <w:rPr>
      <w:vertAlign w:val="superscript"/>
    </w:rPr>
  </w:style>
  <w:style w:type="paragraph" w:styleId="Testonotaapidipagina">
    <w:name w:val="footnote text"/>
    <w:basedOn w:val="Normale"/>
    <w:link w:val="TestonotaapidipaginaCarattere"/>
    <w:uiPriority w:val="99"/>
    <w:rsid w:val="008F43E5"/>
    <w:rPr>
      <w:rFonts w:eastAsiaTheme="minorEastAsia"/>
      <w:lang w:val="en-US" w:eastAsia="zh-CN"/>
    </w:rPr>
  </w:style>
  <w:style w:type="character" w:customStyle="1" w:styleId="TestonotaapidipaginaCarattere">
    <w:name w:val="Testo nota a piè di pagina Carattere"/>
    <w:basedOn w:val="Carpredefinitoparagrafo"/>
    <w:link w:val="Testonotaapidipagina"/>
    <w:uiPriority w:val="99"/>
    <w:rsid w:val="008F43E5"/>
    <w:rPr>
      <w:rFonts w:eastAsiaTheme="minorEastAsia"/>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rsid w:val="0062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83539A"/>
    <w:pPr>
      <w:spacing w:after="0" w:line="36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4303BA"/>
    <w:rPr>
      <w:color w:val="800080" w:themeColor="followedHyperlink"/>
      <w:u w:val="single"/>
    </w:rPr>
  </w:style>
  <w:style w:type="character" w:styleId="Rimandonotaapidipagina">
    <w:name w:val="footnote reference"/>
    <w:uiPriority w:val="99"/>
    <w:semiHidden/>
    <w:rsid w:val="008F43E5"/>
    <w:rPr>
      <w:vertAlign w:val="superscript"/>
    </w:rPr>
  </w:style>
  <w:style w:type="paragraph" w:styleId="Testonotaapidipagina">
    <w:name w:val="footnote text"/>
    <w:basedOn w:val="Normale"/>
    <w:link w:val="TestonotaapidipaginaCarattere"/>
    <w:uiPriority w:val="99"/>
    <w:rsid w:val="008F43E5"/>
    <w:rPr>
      <w:rFonts w:eastAsiaTheme="minorEastAsia"/>
      <w:lang w:val="en-US" w:eastAsia="zh-CN"/>
    </w:rPr>
  </w:style>
  <w:style w:type="character" w:customStyle="1" w:styleId="TestonotaapidipaginaCarattere">
    <w:name w:val="Testo nota a piè di pagina Carattere"/>
    <w:basedOn w:val="Carpredefinitoparagrafo"/>
    <w:link w:val="Testonotaapidipagina"/>
    <w:uiPriority w:val="99"/>
    <w:rsid w:val="008F43E5"/>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24277">
      <w:bodyDiv w:val="1"/>
      <w:marLeft w:val="0"/>
      <w:marRight w:val="0"/>
      <w:marTop w:val="0"/>
      <w:marBottom w:val="0"/>
      <w:divBdr>
        <w:top w:val="none" w:sz="0" w:space="0" w:color="auto"/>
        <w:left w:val="none" w:sz="0" w:space="0" w:color="auto"/>
        <w:bottom w:val="none" w:sz="0" w:space="0" w:color="auto"/>
        <w:right w:val="none" w:sz="0" w:space="0" w:color="auto"/>
      </w:divBdr>
    </w:div>
    <w:div w:id="886139636">
      <w:bodyDiv w:val="1"/>
      <w:marLeft w:val="0"/>
      <w:marRight w:val="0"/>
      <w:marTop w:val="0"/>
      <w:marBottom w:val="0"/>
      <w:divBdr>
        <w:top w:val="none" w:sz="0" w:space="0" w:color="auto"/>
        <w:left w:val="none" w:sz="0" w:space="0" w:color="auto"/>
        <w:bottom w:val="none" w:sz="0" w:space="0" w:color="auto"/>
        <w:right w:val="none" w:sz="0" w:space="0" w:color="auto"/>
      </w:divBdr>
    </w:div>
    <w:div w:id="1137601618">
      <w:bodyDiv w:val="1"/>
      <w:marLeft w:val="0"/>
      <w:marRight w:val="0"/>
      <w:marTop w:val="0"/>
      <w:marBottom w:val="0"/>
      <w:divBdr>
        <w:top w:val="none" w:sz="0" w:space="0" w:color="auto"/>
        <w:left w:val="none" w:sz="0" w:space="0" w:color="auto"/>
        <w:bottom w:val="none" w:sz="0" w:space="0" w:color="auto"/>
        <w:right w:val="none" w:sz="0" w:space="0" w:color="auto"/>
      </w:divBdr>
      <w:divsChild>
        <w:div w:id="349063361">
          <w:marLeft w:val="0"/>
          <w:marRight w:val="0"/>
          <w:marTop w:val="0"/>
          <w:marBottom w:val="0"/>
          <w:divBdr>
            <w:top w:val="none" w:sz="0" w:space="0" w:color="auto"/>
            <w:left w:val="none" w:sz="0" w:space="0" w:color="auto"/>
            <w:bottom w:val="none" w:sz="0" w:space="0" w:color="auto"/>
            <w:right w:val="none" w:sz="0" w:space="0" w:color="auto"/>
          </w:divBdr>
          <w:divsChild>
            <w:div w:id="1614824016">
              <w:marLeft w:val="0"/>
              <w:marRight w:val="0"/>
              <w:marTop w:val="0"/>
              <w:marBottom w:val="0"/>
              <w:divBdr>
                <w:top w:val="none" w:sz="0" w:space="0" w:color="auto"/>
                <w:left w:val="none" w:sz="0" w:space="0" w:color="auto"/>
                <w:bottom w:val="none" w:sz="0" w:space="0" w:color="auto"/>
                <w:right w:val="none" w:sz="0" w:space="0" w:color="auto"/>
              </w:divBdr>
              <w:divsChild>
                <w:div w:id="1348629791">
                  <w:marLeft w:val="0"/>
                  <w:marRight w:val="0"/>
                  <w:marTop w:val="0"/>
                  <w:marBottom w:val="0"/>
                  <w:divBdr>
                    <w:top w:val="none" w:sz="0" w:space="0" w:color="auto"/>
                    <w:left w:val="none" w:sz="0" w:space="0" w:color="auto"/>
                    <w:bottom w:val="none" w:sz="0" w:space="0" w:color="auto"/>
                    <w:right w:val="none" w:sz="0" w:space="0" w:color="auto"/>
                  </w:divBdr>
                  <w:divsChild>
                    <w:div w:id="833763180">
                      <w:marLeft w:val="0"/>
                      <w:marRight w:val="0"/>
                      <w:marTop w:val="0"/>
                      <w:marBottom w:val="0"/>
                      <w:divBdr>
                        <w:top w:val="none" w:sz="0" w:space="0" w:color="auto"/>
                        <w:left w:val="none" w:sz="0" w:space="0" w:color="auto"/>
                        <w:bottom w:val="none" w:sz="0" w:space="0" w:color="auto"/>
                        <w:right w:val="none" w:sz="0" w:space="0" w:color="auto"/>
                      </w:divBdr>
                      <w:divsChild>
                        <w:div w:id="81920195">
                          <w:marLeft w:val="-15"/>
                          <w:marRight w:val="0"/>
                          <w:marTop w:val="0"/>
                          <w:marBottom w:val="0"/>
                          <w:divBdr>
                            <w:top w:val="none" w:sz="0" w:space="0" w:color="auto"/>
                            <w:left w:val="none" w:sz="0" w:space="0" w:color="auto"/>
                            <w:bottom w:val="none" w:sz="0" w:space="0" w:color="auto"/>
                            <w:right w:val="none" w:sz="0" w:space="0" w:color="auto"/>
                          </w:divBdr>
                          <w:divsChild>
                            <w:div w:id="2004773859">
                              <w:marLeft w:val="0"/>
                              <w:marRight w:val="0"/>
                              <w:marTop w:val="0"/>
                              <w:marBottom w:val="0"/>
                              <w:divBdr>
                                <w:top w:val="none" w:sz="0" w:space="0" w:color="auto"/>
                                <w:left w:val="none" w:sz="0" w:space="0" w:color="auto"/>
                                <w:bottom w:val="none" w:sz="0" w:space="0" w:color="auto"/>
                                <w:right w:val="none" w:sz="0" w:space="0" w:color="auto"/>
                              </w:divBdr>
                              <w:divsChild>
                                <w:div w:id="1649166738">
                                  <w:marLeft w:val="0"/>
                                  <w:marRight w:val="-15"/>
                                  <w:marTop w:val="0"/>
                                  <w:marBottom w:val="0"/>
                                  <w:divBdr>
                                    <w:top w:val="none" w:sz="0" w:space="0" w:color="auto"/>
                                    <w:left w:val="none" w:sz="0" w:space="0" w:color="auto"/>
                                    <w:bottom w:val="none" w:sz="0" w:space="0" w:color="auto"/>
                                    <w:right w:val="none" w:sz="0" w:space="0" w:color="auto"/>
                                  </w:divBdr>
                                  <w:divsChild>
                                    <w:div w:id="2064676348">
                                      <w:marLeft w:val="0"/>
                                      <w:marRight w:val="0"/>
                                      <w:marTop w:val="0"/>
                                      <w:marBottom w:val="0"/>
                                      <w:divBdr>
                                        <w:top w:val="none" w:sz="0" w:space="0" w:color="auto"/>
                                        <w:left w:val="none" w:sz="0" w:space="0" w:color="auto"/>
                                        <w:bottom w:val="none" w:sz="0" w:space="0" w:color="auto"/>
                                        <w:right w:val="none" w:sz="0" w:space="0" w:color="auto"/>
                                      </w:divBdr>
                                      <w:divsChild>
                                        <w:div w:id="1511793286">
                                          <w:marLeft w:val="0"/>
                                          <w:marRight w:val="0"/>
                                          <w:marTop w:val="0"/>
                                          <w:marBottom w:val="0"/>
                                          <w:divBdr>
                                            <w:top w:val="none" w:sz="0" w:space="0" w:color="auto"/>
                                            <w:left w:val="none" w:sz="0" w:space="0" w:color="auto"/>
                                            <w:bottom w:val="none" w:sz="0" w:space="0" w:color="auto"/>
                                            <w:right w:val="none" w:sz="0" w:space="0" w:color="auto"/>
                                          </w:divBdr>
                                          <w:divsChild>
                                            <w:div w:id="869343593">
                                              <w:marLeft w:val="0"/>
                                              <w:marRight w:val="0"/>
                                              <w:marTop w:val="0"/>
                                              <w:marBottom w:val="0"/>
                                              <w:divBdr>
                                                <w:top w:val="none" w:sz="0" w:space="0" w:color="auto"/>
                                                <w:left w:val="none" w:sz="0" w:space="0" w:color="auto"/>
                                                <w:bottom w:val="none" w:sz="0" w:space="0" w:color="auto"/>
                                                <w:right w:val="none" w:sz="0" w:space="0" w:color="auto"/>
                                              </w:divBdr>
                                              <w:divsChild>
                                                <w:div w:id="1723747268">
                                                  <w:marLeft w:val="0"/>
                                                  <w:marRight w:val="0"/>
                                                  <w:marTop w:val="0"/>
                                                  <w:marBottom w:val="0"/>
                                                  <w:divBdr>
                                                    <w:top w:val="none" w:sz="0" w:space="0" w:color="auto"/>
                                                    <w:left w:val="none" w:sz="0" w:space="0" w:color="auto"/>
                                                    <w:bottom w:val="none" w:sz="0" w:space="0" w:color="auto"/>
                                                    <w:right w:val="none" w:sz="0" w:space="0" w:color="auto"/>
                                                  </w:divBdr>
                                                  <w:divsChild>
                                                    <w:div w:id="942802166">
                                                      <w:marLeft w:val="0"/>
                                                      <w:marRight w:val="0"/>
                                                      <w:marTop w:val="0"/>
                                                      <w:marBottom w:val="0"/>
                                                      <w:divBdr>
                                                        <w:top w:val="none" w:sz="0" w:space="0" w:color="auto"/>
                                                        <w:left w:val="none" w:sz="0" w:space="0" w:color="auto"/>
                                                        <w:bottom w:val="none" w:sz="0" w:space="0" w:color="auto"/>
                                                        <w:right w:val="none" w:sz="0" w:space="0" w:color="auto"/>
                                                      </w:divBdr>
                                                      <w:divsChild>
                                                        <w:div w:id="1791433988">
                                                          <w:marLeft w:val="0"/>
                                                          <w:marRight w:val="0"/>
                                                          <w:marTop w:val="0"/>
                                                          <w:marBottom w:val="0"/>
                                                          <w:divBdr>
                                                            <w:top w:val="none" w:sz="0" w:space="0" w:color="auto"/>
                                                            <w:left w:val="none" w:sz="0" w:space="0" w:color="auto"/>
                                                            <w:bottom w:val="none" w:sz="0" w:space="0" w:color="auto"/>
                                                            <w:right w:val="none" w:sz="0" w:space="0" w:color="auto"/>
                                                          </w:divBdr>
                                                          <w:divsChild>
                                                            <w:div w:id="859389749">
                                                              <w:marLeft w:val="0"/>
                                                              <w:marRight w:val="0"/>
                                                              <w:marTop w:val="0"/>
                                                              <w:marBottom w:val="0"/>
                                                              <w:divBdr>
                                                                <w:top w:val="none" w:sz="0" w:space="0" w:color="auto"/>
                                                                <w:left w:val="none" w:sz="0" w:space="0" w:color="auto"/>
                                                                <w:bottom w:val="none" w:sz="0" w:space="0" w:color="auto"/>
                                                                <w:right w:val="none" w:sz="0" w:space="0" w:color="auto"/>
                                                              </w:divBdr>
                                                              <w:divsChild>
                                                                <w:div w:id="606234189">
                                                                  <w:marLeft w:val="-270"/>
                                                                  <w:marRight w:val="0"/>
                                                                  <w:marTop w:val="0"/>
                                                                  <w:marBottom w:val="0"/>
                                                                  <w:divBdr>
                                                                    <w:top w:val="none" w:sz="0" w:space="0" w:color="auto"/>
                                                                    <w:left w:val="none" w:sz="0" w:space="0" w:color="auto"/>
                                                                    <w:bottom w:val="none" w:sz="0" w:space="0" w:color="auto"/>
                                                                    <w:right w:val="none" w:sz="0" w:space="0" w:color="auto"/>
                                                                  </w:divBdr>
                                                                  <w:divsChild>
                                                                    <w:div w:id="67700264">
                                                                      <w:marLeft w:val="0"/>
                                                                      <w:marRight w:val="0"/>
                                                                      <w:marTop w:val="0"/>
                                                                      <w:marBottom w:val="0"/>
                                                                      <w:divBdr>
                                                                        <w:top w:val="single" w:sz="6" w:space="0" w:color="E5E6E9"/>
                                                                        <w:left w:val="single" w:sz="6" w:space="0" w:color="DFE0E4"/>
                                                                        <w:bottom w:val="single" w:sz="6" w:space="0" w:color="D0D1D5"/>
                                                                        <w:right w:val="single" w:sz="6" w:space="0" w:color="DFE0E4"/>
                                                                      </w:divBdr>
                                                                      <w:divsChild>
                                                                        <w:div w:id="1544099575">
                                                                          <w:marLeft w:val="0"/>
                                                                          <w:marRight w:val="0"/>
                                                                          <w:marTop w:val="0"/>
                                                                          <w:marBottom w:val="0"/>
                                                                          <w:divBdr>
                                                                            <w:top w:val="none" w:sz="0" w:space="0" w:color="auto"/>
                                                                            <w:left w:val="none" w:sz="0" w:space="0" w:color="auto"/>
                                                                            <w:bottom w:val="none" w:sz="0" w:space="0" w:color="auto"/>
                                                                            <w:right w:val="none" w:sz="0" w:space="0" w:color="auto"/>
                                                                          </w:divBdr>
                                                                          <w:divsChild>
                                                                            <w:div w:id="67074452">
                                                                              <w:marLeft w:val="0"/>
                                                                              <w:marRight w:val="0"/>
                                                                              <w:marTop w:val="0"/>
                                                                              <w:marBottom w:val="0"/>
                                                                              <w:divBdr>
                                                                                <w:top w:val="none" w:sz="0" w:space="0" w:color="auto"/>
                                                                                <w:left w:val="none" w:sz="0" w:space="0" w:color="auto"/>
                                                                                <w:bottom w:val="none" w:sz="0" w:space="0" w:color="auto"/>
                                                                                <w:right w:val="none" w:sz="0" w:space="0" w:color="auto"/>
                                                                              </w:divBdr>
                                                                              <w:divsChild>
                                                                                <w:div w:id="645008722">
                                                                                  <w:marLeft w:val="0"/>
                                                                                  <w:marRight w:val="0"/>
                                                                                  <w:marTop w:val="0"/>
                                                                                  <w:marBottom w:val="0"/>
                                                                                  <w:divBdr>
                                                                                    <w:top w:val="none" w:sz="0" w:space="0" w:color="auto"/>
                                                                                    <w:left w:val="none" w:sz="0" w:space="0" w:color="auto"/>
                                                                                    <w:bottom w:val="none" w:sz="0" w:space="0" w:color="auto"/>
                                                                                    <w:right w:val="none" w:sz="0" w:space="0" w:color="auto"/>
                                                                                  </w:divBdr>
                                                                                  <w:divsChild>
                                                                                    <w:div w:id="813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822504">
      <w:bodyDiv w:val="1"/>
      <w:marLeft w:val="0"/>
      <w:marRight w:val="0"/>
      <w:marTop w:val="0"/>
      <w:marBottom w:val="0"/>
      <w:divBdr>
        <w:top w:val="none" w:sz="0" w:space="0" w:color="auto"/>
        <w:left w:val="none" w:sz="0" w:space="0" w:color="auto"/>
        <w:bottom w:val="none" w:sz="0" w:space="0" w:color="auto"/>
        <w:right w:val="none" w:sz="0" w:space="0" w:color="auto"/>
      </w:divBdr>
    </w:div>
    <w:div w:id="1560285340">
      <w:bodyDiv w:val="1"/>
      <w:marLeft w:val="0"/>
      <w:marRight w:val="0"/>
      <w:marTop w:val="0"/>
      <w:marBottom w:val="0"/>
      <w:divBdr>
        <w:top w:val="none" w:sz="0" w:space="0" w:color="auto"/>
        <w:left w:val="none" w:sz="0" w:space="0" w:color="auto"/>
        <w:bottom w:val="none" w:sz="0" w:space="0" w:color="auto"/>
        <w:right w:val="none" w:sz="0" w:space="0" w:color="auto"/>
      </w:divBdr>
    </w:div>
    <w:div w:id="1678313873">
      <w:bodyDiv w:val="1"/>
      <w:marLeft w:val="0"/>
      <w:marRight w:val="0"/>
      <w:marTop w:val="0"/>
      <w:marBottom w:val="0"/>
      <w:divBdr>
        <w:top w:val="none" w:sz="0" w:space="0" w:color="auto"/>
        <w:left w:val="none" w:sz="0" w:space="0" w:color="auto"/>
        <w:bottom w:val="none" w:sz="0" w:space="0" w:color="auto"/>
        <w:right w:val="none" w:sz="0" w:space="0" w:color="auto"/>
      </w:divBdr>
    </w:div>
    <w:div w:id="1986278593">
      <w:bodyDiv w:val="1"/>
      <w:marLeft w:val="0"/>
      <w:marRight w:val="0"/>
      <w:marTop w:val="0"/>
      <w:marBottom w:val="0"/>
      <w:divBdr>
        <w:top w:val="none" w:sz="0" w:space="0" w:color="auto"/>
        <w:left w:val="none" w:sz="0" w:space="0" w:color="auto"/>
        <w:bottom w:val="none" w:sz="0" w:space="0" w:color="auto"/>
        <w:right w:val="none" w:sz="0" w:space="0" w:color="auto"/>
      </w:divBdr>
    </w:div>
    <w:div w:id="2134054401">
      <w:bodyDiv w:val="1"/>
      <w:marLeft w:val="0"/>
      <w:marRight w:val="0"/>
      <w:marTop w:val="0"/>
      <w:marBottom w:val="0"/>
      <w:divBdr>
        <w:top w:val="none" w:sz="0" w:space="0" w:color="auto"/>
        <w:left w:val="none" w:sz="0" w:space="0" w:color="auto"/>
        <w:bottom w:val="none" w:sz="0" w:space="0" w:color="auto"/>
        <w:right w:val="none" w:sz="0" w:space="0" w:color="auto"/>
      </w:divBdr>
      <w:divsChild>
        <w:div w:id="1230388191">
          <w:marLeft w:val="0"/>
          <w:marRight w:val="0"/>
          <w:marTop w:val="0"/>
          <w:marBottom w:val="0"/>
          <w:divBdr>
            <w:top w:val="none" w:sz="0" w:space="0" w:color="auto"/>
            <w:left w:val="none" w:sz="0" w:space="0" w:color="auto"/>
            <w:bottom w:val="none" w:sz="0" w:space="0" w:color="auto"/>
            <w:right w:val="none" w:sz="0" w:space="0" w:color="auto"/>
          </w:divBdr>
          <w:divsChild>
            <w:div w:id="1641307635">
              <w:marLeft w:val="0"/>
              <w:marRight w:val="0"/>
              <w:marTop w:val="0"/>
              <w:marBottom w:val="0"/>
              <w:divBdr>
                <w:top w:val="none" w:sz="0" w:space="0" w:color="auto"/>
                <w:left w:val="none" w:sz="0" w:space="0" w:color="auto"/>
                <w:bottom w:val="none" w:sz="0" w:space="0" w:color="auto"/>
                <w:right w:val="none" w:sz="0" w:space="0" w:color="auto"/>
              </w:divBdr>
              <w:divsChild>
                <w:div w:id="1517813869">
                  <w:marLeft w:val="0"/>
                  <w:marRight w:val="0"/>
                  <w:marTop w:val="0"/>
                  <w:marBottom w:val="300"/>
                  <w:divBdr>
                    <w:top w:val="none" w:sz="0" w:space="0" w:color="auto"/>
                    <w:left w:val="none" w:sz="0" w:space="0" w:color="auto"/>
                    <w:bottom w:val="none" w:sz="0" w:space="0" w:color="auto"/>
                    <w:right w:val="none" w:sz="0" w:space="0" w:color="auto"/>
                  </w:divBdr>
                  <w:divsChild>
                    <w:div w:id="1551378754">
                      <w:marLeft w:val="0"/>
                      <w:marRight w:val="0"/>
                      <w:marTop w:val="0"/>
                      <w:marBottom w:val="0"/>
                      <w:divBdr>
                        <w:top w:val="none" w:sz="0" w:space="0" w:color="auto"/>
                        <w:left w:val="none" w:sz="0" w:space="0" w:color="auto"/>
                        <w:bottom w:val="none" w:sz="0" w:space="0" w:color="auto"/>
                        <w:right w:val="none" w:sz="0" w:space="0" w:color="auto"/>
                      </w:divBdr>
                      <w:divsChild>
                        <w:div w:id="13330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fficio.stampa@gimbe.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7612A-5E00-4C65-B329-18955E37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1173</Words>
  <Characters>6689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Elena Cottafava</cp:lastModifiedBy>
  <cp:revision>6</cp:revision>
  <cp:lastPrinted>2014-01-27T14:53:00Z</cp:lastPrinted>
  <dcterms:created xsi:type="dcterms:W3CDTF">2017-06-05T14:10:00Z</dcterms:created>
  <dcterms:modified xsi:type="dcterms:W3CDTF">2017-06-19T09:16:00Z</dcterms:modified>
</cp:coreProperties>
</file>